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27" w:rsidRDefault="00DC36B3" w:rsidP="008F1BBB">
      <w:pPr>
        <w:jc w:val="center"/>
        <w:rPr>
          <w:rFonts w:ascii="Times New Roman" w:hAnsi="Times New Roman" w:cs="Times New Roman"/>
          <w:sz w:val="40"/>
          <w:szCs w:val="40"/>
        </w:rPr>
      </w:pPr>
      <w:bookmarkStart w:id="0" w:name="_GoBack"/>
      <w:r>
        <w:rPr>
          <w:rFonts w:ascii="Times New Roman" w:hAnsi="Times New Roman" w:cs="Times New Roman"/>
          <w:sz w:val="40"/>
          <w:szCs w:val="40"/>
        </w:rPr>
        <w:t>Debt</w:t>
      </w:r>
      <w:r w:rsidR="00B03905">
        <w:rPr>
          <w:rFonts w:ascii="Times New Roman" w:hAnsi="Times New Roman" w:cs="Times New Roman"/>
          <w:sz w:val="40"/>
          <w:szCs w:val="40"/>
        </w:rPr>
        <w:t xml:space="preserve"> and</w:t>
      </w:r>
      <w:r>
        <w:rPr>
          <w:rFonts w:ascii="Times New Roman" w:hAnsi="Times New Roman" w:cs="Times New Roman"/>
          <w:sz w:val="40"/>
          <w:szCs w:val="40"/>
        </w:rPr>
        <w:t xml:space="preserve"> Taxes</w:t>
      </w:r>
      <w:r w:rsidR="00821C27">
        <w:rPr>
          <w:rFonts w:ascii="Times New Roman" w:hAnsi="Times New Roman" w:cs="Times New Roman"/>
          <w:sz w:val="40"/>
          <w:szCs w:val="40"/>
        </w:rPr>
        <w:t xml:space="preserve"> a</w:t>
      </w:r>
      <w:r w:rsidR="008F1BBB">
        <w:rPr>
          <w:rFonts w:ascii="Times New Roman" w:hAnsi="Times New Roman" w:cs="Times New Roman"/>
          <w:sz w:val="40"/>
          <w:szCs w:val="40"/>
        </w:rPr>
        <w:t>t Multinational Corporation</w:t>
      </w:r>
      <w:r w:rsidR="00B03905">
        <w:rPr>
          <w:rFonts w:ascii="Times New Roman" w:hAnsi="Times New Roman" w:cs="Times New Roman"/>
          <w:sz w:val="40"/>
          <w:szCs w:val="40"/>
        </w:rPr>
        <w:t>s</w:t>
      </w:r>
    </w:p>
    <w:bookmarkEnd w:id="0"/>
    <w:p w:rsidR="00821C27" w:rsidRDefault="00821C27" w:rsidP="00821C27">
      <w:pPr>
        <w:jc w:val="center"/>
        <w:rPr>
          <w:rFonts w:ascii="Times New Roman" w:hAnsi="Times New Roman" w:cs="Times New Roman"/>
          <w:sz w:val="24"/>
          <w:szCs w:val="24"/>
        </w:rPr>
      </w:pPr>
      <w:r w:rsidRPr="00821C27">
        <w:rPr>
          <w:rFonts w:ascii="Times New Roman" w:hAnsi="Times New Roman" w:cs="Times New Roman"/>
          <w:sz w:val="24"/>
          <w:szCs w:val="24"/>
        </w:rPr>
        <w:t>By</w:t>
      </w:r>
    </w:p>
    <w:p w:rsidR="00821C27" w:rsidRPr="00821C27" w:rsidRDefault="00821C27" w:rsidP="00821C27">
      <w:pPr>
        <w:jc w:val="center"/>
        <w:rPr>
          <w:rFonts w:ascii="Times New Roman" w:hAnsi="Times New Roman" w:cs="Times New Roman"/>
          <w:sz w:val="24"/>
          <w:szCs w:val="24"/>
        </w:rPr>
      </w:pPr>
      <w:r>
        <w:rPr>
          <w:rFonts w:ascii="Times New Roman" w:hAnsi="Times New Roman" w:cs="Times New Roman"/>
          <w:sz w:val="24"/>
          <w:szCs w:val="24"/>
        </w:rPr>
        <w:t>Michael Faulkender</w:t>
      </w:r>
      <w:r w:rsidRPr="00821C27">
        <w:rPr>
          <w:rFonts w:ascii="Times New Roman" w:hAnsi="Times New Roman" w:cs="Times New Roman"/>
          <w:sz w:val="24"/>
          <w:szCs w:val="24"/>
          <w:vertAlign w:val="superscript"/>
        </w:rPr>
        <w:t>a</w:t>
      </w:r>
      <w:r>
        <w:rPr>
          <w:rFonts w:ascii="Times New Roman" w:hAnsi="Times New Roman" w:cs="Times New Roman"/>
          <w:sz w:val="24"/>
          <w:szCs w:val="24"/>
        </w:rPr>
        <w:t xml:space="preserve"> and Jason Smith</w:t>
      </w:r>
      <w:r w:rsidRPr="00821C27">
        <w:rPr>
          <w:rFonts w:ascii="Times New Roman" w:hAnsi="Times New Roman" w:cs="Times New Roman"/>
          <w:sz w:val="24"/>
          <w:szCs w:val="24"/>
          <w:vertAlign w:val="superscript"/>
        </w:rPr>
        <w:t>b</w:t>
      </w:r>
    </w:p>
    <w:p w:rsidR="00821C27" w:rsidRDefault="00821C27"/>
    <w:p w:rsidR="00821C27" w:rsidRDefault="00821C27"/>
    <w:p w:rsidR="00821C27" w:rsidRDefault="00DC36B3">
      <w:pPr>
        <w:rPr>
          <w:rFonts w:ascii="Times New Roman" w:hAnsi="Times New Roman" w:cs="Times New Roman"/>
          <w:sz w:val="24"/>
          <w:szCs w:val="24"/>
        </w:rPr>
      </w:pPr>
      <w:r>
        <w:rPr>
          <w:rFonts w:ascii="Times New Roman" w:hAnsi="Times New Roman" w:cs="Times New Roman"/>
          <w:sz w:val="24"/>
          <w:szCs w:val="24"/>
        </w:rPr>
        <w:t>Abstract:</w:t>
      </w:r>
    </w:p>
    <w:p w:rsidR="00821C27" w:rsidRDefault="00606CEE" w:rsidP="007A418F">
      <w:pPr>
        <w:jc w:val="both"/>
      </w:pPr>
      <w:r>
        <w:rPr>
          <w:rFonts w:ascii="Times New Roman" w:hAnsi="Times New Roman" w:cs="Times New Roman"/>
          <w:sz w:val="24"/>
          <w:szCs w:val="24"/>
        </w:rPr>
        <w:t>E</w:t>
      </w:r>
      <w:r w:rsidR="008F1BBB">
        <w:rPr>
          <w:rFonts w:ascii="Times New Roman" w:hAnsi="Times New Roman" w:cs="Times New Roman"/>
          <w:sz w:val="24"/>
          <w:szCs w:val="24"/>
        </w:rPr>
        <w:t xml:space="preserve">mpirical research has struggled to </w:t>
      </w:r>
      <w:r w:rsidR="00DC36B3">
        <w:rPr>
          <w:rFonts w:ascii="Times New Roman" w:hAnsi="Times New Roman" w:cs="Times New Roman"/>
          <w:sz w:val="24"/>
          <w:szCs w:val="24"/>
        </w:rPr>
        <w:t xml:space="preserve">explain </w:t>
      </w:r>
      <w:r w:rsidR="008F1BBB">
        <w:rPr>
          <w:rFonts w:ascii="Times New Roman" w:hAnsi="Times New Roman" w:cs="Times New Roman"/>
          <w:sz w:val="24"/>
          <w:szCs w:val="24"/>
        </w:rPr>
        <w:t xml:space="preserve">the lack of variation in </w:t>
      </w:r>
      <w:r w:rsidR="00B03905">
        <w:rPr>
          <w:rFonts w:ascii="Times New Roman" w:hAnsi="Times New Roman" w:cs="Times New Roman"/>
          <w:sz w:val="24"/>
          <w:szCs w:val="24"/>
        </w:rPr>
        <w:t xml:space="preserve">recent </w:t>
      </w:r>
      <w:r w:rsidR="008F1BBB">
        <w:rPr>
          <w:rFonts w:ascii="Times New Roman" w:hAnsi="Times New Roman" w:cs="Times New Roman"/>
          <w:sz w:val="24"/>
          <w:szCs w:val="24"/>
        </w:rPr>
        <w:t xml:space="preserve">corporate capital structures </w:t>
      </w:r>
      <w:r w:rsidR="00B03905">
        <w:rPr>
          <w:rFonts w:ascii="Times New Roman" w:hAnsi="Times New Roman" w:cs="Times New Roman"/>
          <w:sz w:val="24"/>
          <w:szCs w:val="24"/>
        </w:rPr>
        <w:t xml:space="preserve">arising from variation in different </w:t>
      </w:r>
      <w:r w:rsidR="008F1BBB">
        <w:rPr>
          <w:rFonts w:ascii="Times New Roman" w:hAnsi="Times New Roman" w:cs="Times New Roman"/>
          <w:sz w:val="24"/>
          <w:szCs w:val="24"/>
        </w:rPr>
        <w:t xml:space="preserve">tax environments.  We argue that </w:t>
      </w:r>
      <w:r w:rsidR="00B03905">
        <w:rPr>
          <w:rFonts w:ascii="Times New Roman" w:hAnsi="Times New Roman" w:cs="Times New Roman"/>
          <w:sz w:val="24"/>
          <w:szCs w:val="24"/>
        </w:rPr>
        <w:t xml:space="preserve">in previous studies, </w:t>
      </w:r>
      <w:r w:rsidR="008F1BBB">
        <w:rPr>
          <w:rFonts w:ascii="Times New Roman" w:hAnsi="Times New Roman" w:cs="Times New Roman"/>
          <w:sz w:val="24"/>
          <w:szCs w:val="24"/>
        </w:rPr>
        <w:t xml:space="preserve">both the tax rates being applied to multinational corporations and the income earned has been </w:t>
      </w:r>
      <w:r w:rsidR="00B03905">
        <w:rPr>
          <w:rFonts w:ascii="Times New Roman" w:hAnsi="Times New Roman" w:cs="Times New Roman"/>
          <w:sz w:val="24"/>
          <w:szCs w:val="24"/>
        </w:rPr>
        <w:t>miss-measured</w:t>
      </w:r>
      <w:r w:rsidR="007A418F">
        <w:rPr>
          <w:rFonts w:ascii="Times New Roman" w:hAnsi="Times New Roman" w:cs="Times New Roman"/>
          <w:sz w:val="24"/>
          <w:szCs w:val="24"/>
        </w:rPr>
        <w:t>,</w:t>
      </w:r>
      <w:r w:rsidR="00B03905">
        <w:rPr>
          <w:rFonts w:ascii="Times New Roman" w:hAnsi="Times New Roman" w:cs="Times New Roman"/>
          <w:sz w:val="24"/>
          <w:szCs w:val="24"/>
        </w:rPr>
        <w:t xml:space="preserve"> resulting from </w:t>
      </w:r>
      <w:r w:rsidR="00C36BD4">
        <w:rPr>
          <w:rFonts w:ascii="Times New Roman" w:hAnsi="Times New Roman" w:cs="Times New Roman"/>
          <w:sz w:val="24"/>
          <w:szCs w:val="24"/>
        </w:rPr>
        <w:t>firm</w:t>
      </w:r>
      <w:r w:rsidR="00B03905">
        <w:rPr>
          <w:rFonts w:ascii="Times New Roman" w:hAnsi="Times New Roman" w:cs="Times New Roman"/>
          <w:sz w:val="24"/>
          <w:szCs w:val="24"/>
        </w:rPr>
        <w:t>s</w:t>
      </w:r>
      <w:r w:rsidR="00C36BD4">
        <w:rPr>
          <w:rFonts w:ascii="Times New Roman" w:hAnsi="Times New Roman" w:cs="Times New Roman"/>
          <w:sz w:val="24"/>
          <w:szCs w:val="24"/>
        </w:rPr>
        <w:t xml:space="preserve"> </w:t>
      </w:r>
      <w:r w:rsidR="008F1BBB">
        <w:rPr>
          <w:rFonts w:ascii="Times New Roman" w:hAnsi="Times New Roman" w:cs="Times New Roman"/>
          <w:sz w:val="24"/>
          <w:szCs w:val="24"/>
        </w:rPr>
        <w:t>operatin</w:t>
      </w:r>
      <w:r w:rsidR="00B03905">
        <w:rPr>
          <w:rFonts w:ascii="Times New Roman" w:hAnsi="Times New Roman" w:cs="Times New Roman"/>
          <w:sz w:val="24"/>
          <w:szCs w:val="24"/>
        </w:rPr>
        <w:t>g</w:t>
      </w:r>
      <w:r w:rsidR="008F1BBB">
        <w:rPr>
          <w:rFonts w:ascii="Times New Roman" w:hAnsi="Times New Roman" w:cs="Times New Roman"/>
          <w:sz w:val="24"/>
          <w:szCs w:val="24"/>
        </w:rPr>
        <w:t xml:space="preserve"> in many foreign countries.  Using a sample of multinational firms</w:t>
      </w:r>
      <w:r w:rsidR="00DC36B3">
        <w:rPr>
          <w:rFonts w:ascii="Times New Roman" w:hAnsi="Times New Roman" w:cs="Times New Roman"/>
          <w:sz w:val="24"/>
          <w:szCs w:val="24"/>
        </w:rPr>
        <w:t xml:space="preserve"> collected in the Bureau of Economic Analysis’ annual survey combined with</w:t>
      </w:r>
      <w:r w:rsidR="008F1BBB">
        <w:rPr>
          <w:rFonts w:ascii="Times New Roman" w:hAnsi="Times New Roman" w:cs="Times New Roman"/>
          <w:sz w:val="24"/>
          <w:szCs w:val="24"/>
        </w:rPr>
        <w:t xml:space="preserve"> each firm’s respective income and country specific tax rate, we revisit this puzzle.  Empirically we find that firms do </w:t>
      </w:r>
      <w:r w:rsidR="00B03905">
        <w:rPr>
          <w:rFonts w:ascii="Times New Roman" w:hAnsi="Times New Roman" w:cs="Times New Roman"/>
          <w:sz w:val="24"/>
          <w:szCs w:val="24"/>
        </w:rPr>
        <w:t>have higher</w:t>
      </w:r>
      <w:r w:rsidR="008F1BBB">
        <w:rPr>
          <w:rFonts w:ascii="Times New Roman" w:hAnsi="Times New Roman" w:cs="Times New Roman"/>
          <w:sz w:val="24"/>
          <w:szCs w:val="24"/>
        </w:rPr>
        <w:t xml:space="preserve"> leverage </w:t>
      </w:r>
      <w:r w:rsidR="00B03905">
        <w:rPr>
          <w:rFonts w:ascii="Times New Roman" w:hAnsi="Times New Roman" w:cs="Times New Roman"/>
          <w:sz w:val="24"/>
          <w:szCs w:val="24"/>
        </w:rPr>
        <w:t xml:space="preserve">ratios and lower interest coverage ratios </w:t>
      </w:r>
      <w:r w:rsidR="008F1BBB">
        <w:rPr>
          <w:rFonts w:ascii="Times New Roman" w:hAnsi="Times New Roman" w:cs="Times New Roman"/>
          <w:sz w:val="24"/>
          <w:szCs w:val="24"/>
        </w:rPr>
        <w:t xml:space="preserve">when </w:t>
      </w:r>
      <w:r w:rsidR="00B03905">
        <w:rPr>
          <w:rFonts w:ascii="Times New Roman" w:hAnsi="Times New Roman" w:cs="Times New Roman"/>
          <w:sz w:val="24"/>
          <w:szCs w:val="24"/>
        </w:rPr>
        <w:t xml:space="preserve">they operate in countries with higher </w:t>
      </w:r>
      <w:r w:rsidR="008F1BBB">
        <w:rPr>
          <w:rFonts w:ascii="Times New Roman" w:hAnsi="Times New Roman" w:cs="Times New Roman"/>
          <w:sz w:val="24"/>
          <w:szCs w:val="24"/>
        </w:rPr>
        <w:t>tax rates</w:t>
      </w:r>
      <w:r w:rsidR="00B03905">
        <w:rPr>
          <w:rFonts w:ascii="Times New Roman" w:hAnsi="Times New Roman" w:cs="Times New Roman"/>
          <w:sz w:val="24"/>
          <w:szCs w:val="24"/>
        </w:rPr>
        <w:t>,</w:t>
      </w:r>
      <w:r w:rsidR="00C36BD4">
        <w:rPr>
          <w:rFonts w:ascii="Times New Roman" w:hAnsi="Times New Roman" w:cs="Times New Roman"/>
          <w:sz w:val="24"/>
          <w:szCs w:val="24"/>
        </w:rPr>
        <w:t xml:space="preserve"> as theory would suggest</w:t>
      </w:r>
      <w:r w:rsidR="008F1BBB">
        <w:rPr>
          <w:rFonts w:ascii="Times New Roman" w:hAnsi="Times New Roman" w:cs="Times New Roman"/>
          <w:sz w:val="24"/>
          <w:szCs w:val="24"/>
        </w:rPr>
        <w:t>.  Th</w:t>
      </w:r>
      <w:r w:rsidR="00B03905">
        <w:rPr>
          <w:rFonts w:ascii="Times New Roman" w:hAnsi="Times New Roman" w:cs="Times New Roman"/>
          <w:sz w:val="24"/>
          <w:szCs w:val="24"/>
        </w:rPr>
        <w:t>ese</w:t>
      </w:r>
      <w:r w:rsidR="008F1BBB">
        <w:rPr>
          <w:rFonts w:ascii="Times New Roman" w:hAnsi="Times New Roman" w:cs="Times New Roman"/>
          <w:sz w:val="24"/>
          <w:szCs w:val="24"/>
        </w:rPr>
        <w:t xml:space="preserve"> </w:t>
      </w:r>
      <w:r w:rsidR="00C36BD4">
        <w:rPr>
          <w:rFonts w:ascii="Times New Roman" w:hAnsi="Times New Roman" w:cs="Times New Roman"/>
          <w:sz w:val="24"/>
          <w:szCs w:val="24"/>
        </w:rPr>
        <w:t>result</w:t>
      </w:r>
      <w:r w:rsidR="00B03905">
        <w:rPr>
          <w:rFonts w:ascii="Times New Roman" w:hAnsi="Times New Roman" w:cs="Times New Roman"/>
          <w:sz w:val="24"/>
          <w:szCs w:val="24"/>
        </w:rPr>
        <w:t xml:space="preserve">s explain why recent capital structure observations for multinationals have not showed the statistical relationship to </w:t>
      </w:r>
      <w:r w:rsidR="008F1BBB">
        <w:rPr>
          <w:rFonts w:ascii="Times New Roman" w:hAnsi="Times New Roman" w:cs="Times New Roman"/>
          <w:sz w:val="24"/>
          <w:szCs w:val="24"/>
        </w:rPr>
        <w:t>existing measures of tax rates, such as, those by Graham (1996</w:t>
      </w:r>
      <w:r w:rsidR="006930FC">
        <w:rPr>
          <w:rFonts w:ascii="Times New Roman" w:hAnsi="Times New Roman" w:cs="Times New Roman"/>
          <w:sz w:val="24"/>
          <w:szCs w:val="24"/>
        </w:rPr>
        <w:t>a</w:t>
      </w:r>
      <w:r w:rsidR="008F1BBB">
        <w:rPr>
          <w:rFonts w:ascii="Times New Roman" w:hAnsi="Times New Roman" w:cs="Times New Roman"/>
          <w:sz w:val="24"/>
          <w:szCs w:val="24"/>
        </w:rPr>
        <w:t xml:space="preserve">) and Blouin, Core, and Guay (2010).  </w:t>
      </w:r>
      <w:r w:rsidR="00B03905">
        <w:rPr>
          <w:rFonts w:ascii="Times New Roman" w:hAnsi="Times New Roman" w:cs="Times New Roman"/>
          <w:sz w:val="24"/>
          <w:szCs w:val="24"/>
        </w:rPr>
        <w:t>Our results demonstrate that the primary benefit of leverage under the tradeoff theory of capital structure continues to have empirical support.</w:t>
      </w:r>
    </w:p>
    <w:p w:rsidR="00821C27" w:rsidRDefault="00821C27" w:rsidP="007A418F">
      <w:pPr>
        <w:jc w:val="both"/>
      </w:pPr>
    </w:p>
    <w:p w:rsidR="00821C27" w:rsidRDefault="00821C27" w:rsidP="007A418F">
      <w:pPr>
        <w:jc w:val="both"/>
      </w:pPr>
    </w:p>
    <w:p w:rsidR="00821C27" w:rsidRDefault="00821C27" w:rsidP="007A418F">
      <w:pPr>
        <w:jc w:val="both"/>
      </w:pPr>
    </w:p>
    <w:p w:rsidR="00821C27" w:rsidRDefault="00821C27" w:rsidP="007A418F">
      <w:pPr>
        <w:jc w:val="both"/>
      </w:pPr>
    </w:p>
    <w:p w:rsidR="00054906" w:rsidRDefault="00054906" w:rsidP="007A418F">
      <w:pPr>
        <w:jc w:val="both"/>
      </w:pPr>
    </w:p>
    <w:p w:rsidR="00054906" w:rsidRDefault="00054906" w:rsidP="007A418F">
      <w:pPr>
        <w:jc w:val="both"/>
      </w:pPr>
    </w:p>
    <w:p w:rsidR="00785C34" w:rsidRDefault="00D334DD" w:rsidP="008F5F9F">
      <w:pPr>
        <w:spacing w:after="0" w:line="240" w:lineRule="auto"/>
        <w:jc w:val="both"/>
        <w:rPr>
          <w:rFonts w:ascii="Times New Roman" w:hAnsi="Times New Roman" w:cs="Times New Roman"/>
        </w:rPr>
      </w:pPr>
      <w:r w:rsidRPr="008F5F9F">
        <w:rPr>
          <w:rFonts w:ascii="Times New Roman" w:hAnsi="Times New Roman" w:cs="Times New Roman"/>
          <w:color w:val="000000" w:themeColor="text1"/>
        </w:rPr>
        <w:t>Note</w:t>
      </w:r>
      <w:r w:rsidRPr="008F5F9F">
        <w:rPr>
          <w:rFonts w:ascii="Times New Roman" w:hAnsi="Times New Roman" w:cs="Times New Roman"/>
        </w:rPr>
        <w:t xml:space="preserve">:  </w:t>
      </w:r>
      <w:r w:rsidR="008F5F9F" w:rsidRPr="008F5F9F">
        <w:rPr>
          <w:rFonts w:ascii="Times New Roman" w:hAnsi="Times New Roman" w:cs="Times New Roman"/>
        </w:rPr>
        <w:t>The statistical analysis of firm-level data on U.S. multinational companies was conducted at the Bureau of Economic Analysis, U.S. Department of Commerce, under arrangements that maintain legal confidentiality requirements.  The views expressed in the paper are those of the authors and do not reflect official positions of the U.S. Department of Commerce.</w:t>
      </w:r>
    </w:p>
    <w:p w:rsidR="008F5F9F" w:rsidRPr="008F5F9F" w:rsidRDefault="008F5F9F" w:rsidP="008F5F9F">
      <w:pPr>
        <w:spacing w:after="0" w:line="240" w:lineRule="auto"/>
        <w:jc w:val="both"/>
        <w:rPr>
          <w:rFonts w:ascii="Times New Roman" w:eastAsia="Calibri" w:hAnsi="Times New Roman" w:cs="Times New Roman"/>
          <w:vertAlign w:val="superscript"/>
        </w:rPr>
      </w:pPr>
    </w:p>
    <w:p w:rsidR="00785C34" w:rsidRPr="008F5F9F" w:rsidRDefault="00785C34" w:rsidP="008F5F9F">
      <w:pPr>
        <w:spacing w:after="0" w:line="240" w:lineRule="auto"/>
        <w:rPr>
          <w:rFonts w:ascii="Times New Roman" w:eastAsia="Calibri" w:hAnsi="Times New Roman" w:cs="Times New Roman"/>
        </w:rPr>
      </w:pPr>
      <w:r w:rsidRPr="008F5F9F">
        <w:rPr>
          <w:rFonts w:ascii="Times New Roman" w:eastAsia="Calibri" w:hAnsi="Times New Roman" w:cs="Times New Roman"/>
          <w:vertAlign w:val="superscript"/>
        </w:rPr>
        <w:t>a</w:t>
      </w:r>
      <w:r w:rsidRPr="008F5F9F">
        <w:rPr>
          <w:rFonts w:ascii="Times New Roman" w:eastAsia="Calibri" w:hAnsi="Times New Roman" w:cs="Times New Roman"/>
        </w:rPr>
        <w:t xml:space="preserve">Robert H. Smith School of Business, University of Maryland, College Park, MD 20742.  Email: </w:t>
      </w:r>
      <w:hyperlink r:id="rId9" w:history="1">
        <w:r w:rsidRPr="008F5F9F">
          <w:rPr>
            <w:rStyle w:val="Hyperlink"/>
            <w:rFonts w:ascii="Times New Roman" w:eastAsia="Calibri" w:hAnsi="Times New Roman" w:cs="Times New Roman"/>
          </w:rPr>
          <w:t>mfaulken@rhsmith.umd.edu</w:t>
        </w:r>
      </w:hyperlink>
      <w:r w:rsidRPr="008F5F9F">
        <w:rPr>
          <w:rFonts w:ascii="Times New Roman" w:eastAsia="Calibri" w:hAnsi="Times New Roman" w:cs="Times New Roman"/>
        </w:rPr>
        <w:t>.  Phone: 301-405-1064</w:t>
      </w:r>
    </w:p>
    <w:p w:rsidR="00785C34" w:rsidRPr="008F5F9F" w:rsidRDefault="00785C34" w:rsidP="008F5F9F">
      <w:pPr>
        <w:spacing w:after="0" w:line="240" w:lineRule="auto"/>
        <w:rPr>
          <w:rFonts w:ascii="Times New Roman" w:eastAsia="Calibri" w:hAnsi="Times New Roman" w:cs="Times New Roman"/>
        </w:rPr>
      </w:pPr>
      <w:r w:rsidRPr="008F5F9F">
        <w:rPr>
          <w:rFonts w:ascii="Times New Roman" w:eastAsia="Calibri" w:hAnsi="Times New Roman" w:cs="Times New Roman"/>
          <w:vertAlign w:val="superscript"/>
        </w:rPr>
        <w:t>b</w:t>
      </w:r>
      <w:r w:rsidRPr="008F5F9F">
        <w:rPr>
          <w:rFonts w:ascii="Times New Roman" w:eastAsia="Calibri" w:hAnsi="Times New Roman" w:cs="Times New Roman"/>
        </w:rPr>
        <w:t xml:space="preserve">Huntsman School of Business, Utah State University, Logan, UT 84322.  Email: </w:t>
      </w:r>
      <w:hyperlink r:id="rId10" w:history="1">
        <w:r w:rsidRPr="008F5F9F">
          <w:rPr>
            <w:rFonts w:ascii="Times New Roman" w:eastAsia="Calibri" w:hAnsi="Times New Roman" w:cs="Times New Roman"/>
            <w:color w:val="0000FF"/>
            <w:u w:val="single"/>
          </w:rPr>
          <w:t>jason.smith@usu.edu</w:t>
        </w:r>
      </w:hyperlink>
      <w:r w:rsidRPr="008F5F9F">
        <w:rPr>
          <w:rFonts w:ascii="Times New Roman" w:eastAsia="Calibri" w:hAnsi="Times New Roman" w:cs="Times New Roman"/>
        </w:rPr>
        <w:t>.  Phone: 435-797-2363</w:t>
      </w:r>
    </w:p>
    <w:p w:rsidR="00054906" w:rsidRDefault="00054906">
      <w:pPr>
        <w:rPr>
          <w:rFonts w:ascii="Times New Roman" w:hAnsi="Times New Roman" w:cs="Times New Roman"/>
          <w:b/>
          <w:sz w:val="28"/>
        </w:rPr>
      </w:pPr>
      <w:r>
        <w:rPr>
          <w:rFonts w:ascii="Times New Roman" w:hAnsi="Times New Roman" w:cs="Times New Roman"/>
          <w:b/>
          <w:sz w:val="28"/>
        </w:rPr>
        <w:br w:type="page"/>
      </w:r>
    </w:p>
    <w:p w:rsidR="00830139" w:rsidRPr="0022460F" w:rsidRDefault="00830139" w:rsidP="00830139">
      <w:pPr>
        <w:rPr>
          <w:rFonts w:ascii="Times New Roman" w:hAnsi="Times New Roman" w:cs="Times New Roman"/>
          <w:b/>
          <w:sz w:val="28"/>
        </w:rPr>
      </w:pPr>
      <w:r w:rsidRPr="0022460F">
        <w:rPr>
          <w:rFonts w:ascii="Times New Roman" w:hAnsi="Times New Roman" w:cs="Times New Roman"/>
          <w:b/>
          <w:sz w:val="28"/>
        </w:rPr>
        <w:lastRenderedPageBreak/>
        <w:t>I. Introduction</w:t>
      </w:r>
    </w:p>
    <w:p w:rsidR="00446B5D" w:rsidRPr="00446B5D" w:rsidRDefault="00446B5D" w:rsidP="007A418F">
      <w:pPr>
        <w:spacing w:line="480" w:lineRule="auto"/>
        <w:ind w:firstLine="720"/>
        <w:jc w:val="both"/>
        <w:rPr>
          <w:rFonts w:ascii="Times New Roman" w:hAnsi="Times New Roman" w:cs="Times New Roman"/>
          <w:sz w:val="24"/>
        </w:rPr>
      </w:pPr>
      <w:r w:rsidRPr="00446B5D">
        <w:rPr>
          <w:rFonts w:ascii="Times New Roman" w:hAnsi="Times New Roman" w:cs="Times New Roman"/>
          <w:sz w:val="24"/>
        </w:rPr>
        <w:t xml:space="preserve">The trade-off theory of capital </w:t>
      </w:r>
      <w:r w:rsidR="0090240A">
        <w:rPr>
          <w:rFonts w:ascii="Times New Roman" w:hAnsi="Times New Roman" w:cs="Times New Roman"/>
          <w:sz w:val="24"/>
        </w:rPr>
        <w:t xml:space="preserve">structure postulates that firms </w:t>
      </w:r>
      <w:r w:rsidRPr="00446B5D">
        <w:rPr>
          <w:rFonts w:ascii="Times New Roman" w:hAnsi="Times New Roman" w:cs="Times New Roman"/>
          <w:sz w:val="24"/>
        </w:rPr>
        <w:t>trade-off the benefits of raising external capital from debt holders against the costs of having such fixed obligations. The primary ben</w:t>
      </w:r>
      <w:r w:rsidR="00830139">
        <w:rPr>
          <w:rFonts w:ascii="Times New Roman" w:hAnsi="Times New Roman" w:cs="Times New Roman"/>
          <w:sz w:val="24"/>
        </w:rPr>
        <w:t>efit of issuing debt is hypoth</w:t>
      </w:r>
      <w:r w:rsidRPr="00446B5D">
        <w:rPr>
          <w:rFonts w:ascii="Times New Roman" w:hAnsi="Times New Roman" w:cs="Times New Roman"/>
          <w:sz w:val="24"/>
        </w:rPr>
        <w:t>esized to arise from the fact that interest paid to debt-holders is deducted before corporate income taxes are calculated whereas payments to equity holders do not receive a tax deduction. Th</w:t>
      </w:r>
      <w:r w:rsidR="00830139">
        <w:rPr>
          <w:rFonts w:ascii="Times New Roman" w:hAnsi="Times New Roman" w:cs="Times New Roman"/>
          <w:sz w:val="24"/>
        </w:rPr>
        <w:t>e reduction in taxes is consid</w:t>
      </w:r>
      <w:r w:rsidRPr="00446B5D">
        <w:rPr>
          <w:rFonts w:ascii="Times New Roman" w:hAnsi="Times New Roman" w:cs="Times New Roman"/>
          <w:sz w:val="24"/>
        </w:rPr>
        <w:t xml:space="preserve">ered a wealth transfer to investors from the government arising entirely from the capital structure choice of the firm. </w:t>
      </w:r>
      <w:r w:rsidR="00A6607C">
        <w:rPr>
          <w:rFonts w:ascii="Times New Roman" w:hAnsi="Times New Roman" w:cs="Times New Roman"/>
          <w:sz w:val="24"/>
        </w:rPr>
        <w:t>For a debt issuance that is anticipated to be perpetually rolled over, the value of that wealth transfer is approximately the amount of the debt issuance multiplied by the corporate income tax rate.  For a country like the United States with a relatively high corporate income tax rate (a statutory federal rate of 35%), theory argue</w:t>
      </w:r>
      <w:r w:rsidR="00606CEE">
        <w:rPr>
          <w:rFonts w:ascii="Times New Roman" w:hAnsi="Times New Roman" w:cs="Times New Roman"/>
          <w:sz w:val="24"/>
        </w:rPr>
        <w:t>s</w:t>
      </w:r>
      <w:r w:rsidR="00A6607C">
        <w:rPr>
          <w:rFonts w:ascii="Times New Roman" w:hAnsi="Times New Roman" w:cs="Times New Roman"/>
          <w:sz w:val="24"/>
        </w:rPr>
        <w:t xml:space="preserve"> that firms in this country should have significant leverage. </w:t>
      </w:r>
      <w:r w:rsidRPr="00446B5D">
        <w:rPr>
          <w:rFonts w:ascii="Times New Roman" w:hAnsi="Times New Roman" w:cs="Times New Roman"/>
          <w:sz w:val="24"/>
        </w:rPr>
        <w:t>Y</w:t>
      </w:r>
      <w:r w:rsidR="00A929AE">
        <w:rPr>
          <w:rFonts w:ascii="Times New Roman" w:hAnsi="Times New Roman" w:cs="Times New Roman"/>
          <w:sz w:val="24"/>
        </w:rPr>
        <w:t>et when finance researchers at</w:t>
      </w:r>
      <w:r w:rsidRPr="00446B5D">
        <w:rPr>
          <w:rFonts w:ascii="Times New Roman" w:hAnsi="Times New Roman" w:cs="Times New Roman"/>
          <w:sz w:val="24"/>
        </w:rPr>
        <w:t>tempt to empirically estimate the size of this benefit and whether variation in corporate capital structures is explained by variation in the tax status of corporations, the results have been less conclusive than theory would predict.</w:t>
      </w:r>
    </w:p>
    <w:p w:rsidR="0059557F" w:rsidRDefault="00446B5D" w:rsidP="007A418F">
      <w:pPr>
        <w:spacing w:line="480" w:lineRule="auto"/>
        <w:ind w:firstLine="720"/>
        <w:jc w:val="both"/>
        <w:rPr>
          <w:rFonts w:ascii="Times New Roman" w:hAnsi="Times New Roman" w:cs="Times New Roman"/>
          <w:sz w:val="24"/>
        </w:rPr>
      </w:pPr>
      <w:r w:rsidRPr="00446B5D">
        <w:rPr>
          <w:rFonts w:ascii="Times New Roman" w:hAnsi="Times New Roman" w:cs="Times New Roman"/>
          <w:sz w:val="24"/>
        </w:rPr>
        <w:t>We argue that one of the reasons empirical researchers may have failed to find significant effects is because use of consolidated financial statements that are publicly disclosed make it difficult to ascertain how much of the income is earned in which tax jurisdiction. Previous research has implicitly assumed that all of the firm</w:t>
      </w:r>
      <w:r w:rsidR="0059557F">
        <w:rPr>
          <w:rFonts w:ascii="Times New Roman" w:hAnsi="Times New Roman" w:cs="Times New Roman"/>
          <w:sz w:val="24"/>
        </w:rPr>
        <w:t>’</w:t>
      </w:r>
      <w:r w:rsidRPr="00446B5D">
        <w:rPr>
          <w:rFonts w:ascii="Times New Roman" w:hAnsi="Times New Roman" w:cs="Times New Roman"/>
          <w:sz w:val="24"/>
        </w:rPr>
        <w:t xml:space="preserve">s income is either earned in the United States or if earned overseas, that the funds are contemporaneously repatriated to the United States (Graham (1996a) as an example among many). Either way, it generates the assumption that the US tax code is the binding tax structure when estimating the benefits of leverage. </w:t>
      </w:r>
      <w:r w:rsidR="000008EC">
        <w:rPr>
          <w:rFonts w:ascii="Times New Roman" w:hAnsi="Times New Roman" w:cs="Times New Roman"/>
          <w:sz w:val="24"/>
        </w:rPr>
        <w:t>However, significant evi</w:t>
      </w:r>
      <w:r w:rsidR="000008EC" w:rsidRPr="00446B5D">
        <w:rPr>
          <w:rFonts w:ascii="Times New Roman" w:hAnsi="Times New Roman" w:cs="Times New Roman"/>
          <w:sz w:val="24"/>
        </w:rPr>
        <w:t>dence has emerged that much of the</w:t>
      </w:r>
      <w:r w:rsidR="000B5482">
        <w:rPr>
          <w:rFonts w:ascii="Times New Roman" w:hAnsi="Times New Roman" w:cs="Times New Roman"/>
          <w:sz w:val="24"/>
        </w:rPr>
        <w:t xml:space="preserve"> observed</w:t>
      </w:r>
      <w:r w:rsidR="000008EC" w:rsidRPr="00446B5D">
        <w:rPr>
          <w:rFonts w:ascii="Times New Roman" w:hAnsi="Times New Roman" w:cs="Times New Roman"/>
          <w:sz w:val="24"/>
        </w:rPr>
        <w:t xml:space="preserve"> increase in corporate liquidity over the last couple decades c</w:t>
      </w:r>
      <w:r w:rsidR="000008EC">
        <w:rPr>
          <w:rFonts w:ascii="Times New Roman" w:hAnsi="Times New Roman" w:cs="Times New Roman"/>
          <w:sz w:val="24"/>
        </w:rPr>
        <w:t>an be explained by the tax dif</w:t>
      </w:r>
      <w:r w:rsidR="000008EC" w:rsidRPr="00446B5D">
        <w:rPr>
          <w:rFonts w:ascii="Times New Roman" w:hAnsi="Times New Roman" w:cs="Times New Roman"/>
          <w:sz w:val="24"/>
        </w:rPr>
        <w:t xml:space="preserve">ferential between the tax jurisdictions of </w:t>
      </w:r>
      <w:r w:rsidR="000008EC" w:rsidRPr="00446B5D">
        <w:rPr>
          <w:rFonts w:ascii="Times New Roman" w:hAnsi="Times New Roman" w:cs="Times New Roman"/>
          <w:sz w:val="24"/>
        </w:rPr>
        <w:lastRenderedPageBreak/>
        <w:t xml:space="preserve">US foreign </w:t>
      </w:r>
      <w:r w:rsidR="00A3220A">
        <w:rPr>
          <w:rFonts w:ascii="Times New Roman" w:hAnsi="Times New Roman" w:cs="Times New Roman"/>
          <w:sz w:val="24"/>
        </w:rPr>
        <w:t>affiliates</w:t>
      </w:r>
      <w:r w:rsidR="000008EC" w:rsidRPr="00446B5D">
        <w:rPr>
          <w:rFonts w:ascii="Times New Roman" w:hAnsi="Times New Roman" w:cs="Times New Roman"/>
          <w:sz w:val="24"/>
        </w:rPr>
        <w:t xml:space="preserve"> and the US (Foley, Hartzell, Titman, and Twite (2007)). </w:t>
      </w:r>
      <w:r w:rsidRPr="00446B5D">
        <w:rPr>
          <w:rFonts w:ascii="Times New Roman" w:hAnsi="Times New Roman" w:cs="Times New Roman"/>
          <w:sz w:val="24"/>
        </w:rPr>
        <w:t xml:space="preserve">By retaining the earnings in the foreign </w:t>
      </w:r>
      <w:r w:rsidR="00A3220A">
        <w:rPr>
          <w:rFonts w:ascii="Times New Roman" w:hAnsi="Times New Roman" w:cs="Times New Roman"/>
          <w:sz w:val="24"/>
        </w:rPr>
        <w:t>affiliate</w:t>
      </w:r>
      <w:r w:rsidRPr="00446B5D">
        <w:rPr>
          <w:rFonts w:ascii="Times New Roman" w:hAnsi="Times New Roman" w:cs="Times New Roman"/>
          <w:sz w:val="24"/>
        </w:rPr>
        <w:t xml:space="preserve">, and thus deferring payments of US taxes, firms have significantly decreased their tax liabilities. </w:t>
      </w:r>
    </w:p>
    <w:p w:rsidR="0059557F" w:rsidRDefault="00A6607C" w:rsidP="007A418F">
      <w:pPr>
        <w:spacing w:line="480" w:lineRule="auto"/>
        <w:ind w:firstLine="720"/>
        <w:jc w:val="both"/>
        <w:rPr>
          <w:rFonts w:ascii="Times New Roman" w:hAnsi="Times New Roman" w:cs="Times New Roman"/>
          <w:sz w:val="24"/>
        </w:rPr>
      </w:pPr>
      <w:r>
        <w:rPr>
          <w:rFonts w:ascii="Times New Roman" w:hAnsi="Times New Roman" w:cs="Times New Roman"/>
          <w:sz w:val="24"/>
        </w:rPr>
        <w:t>For example, a United States Senate committee recently investigated the tax status of Apple</w:t>
      </w:r>
      <w:r w:rsidR="007A418F">
        <w:rPr>
          <w:rFonts w:ascii="Times New Roman" w:hAnsi="Times New Roman" w:cs="Times New Roman"/>
          <w:sz w:val="24"/>
        </w:rPr>
        <w:t>, Inc.</w:t>
      </w:r>
      <w:r>
        <w:rPr>
          <w:rFonts w:ascii="Times New Roman" w:hAnsi="Times New Roman" w:cs="Times New Roman"/>
          <w:sz w:val="24"/>
        </w:rPr>
        <w:t xml:space="preserve"> and found that it had structured its foreign operations in a way that enabled it to almost entirely eliminate its contemporaneous corporate income tax obligation (</w:t>
      </w:r>
      <w:r w:rsidR="005549F3">
        <w:rPr>
          <w:rFonts w:ascii="Times New Roman" w:hAnsi="Times New Roman" w:cs="Times New Roman"/>
          <w:sz w:val="24"/>
        </w:rPr>
        <w:t>McCoy (2013)</w:t>
      </w:r>
      <w:r>
        <w:rPr>
          <w:rFonts w:ascii="Times New Roman" w:hAnsi="Times New Roman" w:cs="Times New Roman"/>
          <w:sz w:val="24"/>
        </w:rPr>
        <w:t xml:space="preserve">). </w:t>
      </w:r>
      <w:r w:rsidR="000008EC" w:rsidRPr="00446B5D">
        <w:rPr>
          <w:rFonts w:ascii="Times New Roman" w:hAnsi="Times New Roman" w:cs="Times New Roman"/>
          <w:sz w:val="24"/>
        </w:rPr>
        <w:t xml:space="preserve">This retention of earnings in the foreign </w:t>
      </w:r>
      <w:r w:rsidR="00A3220A">
        <w:rPr>
          <w:rFonts w:ascii="Times New Roman" w:hAnsi="Times New Roman" w:cs="Times New Roman"/>
          <w:sz w:val="24"/>
        </w:rPr>
        <w:t>affiliat</w:t>
      </w:r>
      <w:r w:rsidR="000008EC" w:rsidRPr="00446B5D">
        <w:rPr>
          <w:rFonts w:ascii="Times New Roman" w:hAnsi="Times New Roman" w:cs="Times New Roman"/>
          <w:sz w:val="24"/>
        </w:rPr>
        <w:t>es will reduce the benefits of adding leverage to the capital structure of the firm since the effective tax rat</w:t>
      </w:r>
      <w:r w:rsidR="000008EC">
        <w:rPr>
          <w:rFonts w:ascii="Times New Roman" w:hAnsi="Times New Roman" w:cs="Times New Roman"/>
          <w:sz w:val="24"/>
        </w:rPr>
        <w:t>e confronting the foreign earn</w:t>
      </w:r>
      <w:r w:rsidR="000008EC" w:rsidRPr="00446B5D">
        <w:rPr>
          <w:rFonts w:ascii="Times New Roman" w:hAnsi="Times New Roman" w:cs="Times New Roman"/>
          <w:sz w:val="24"/>
        </w:rPr>
        <w:t>ings of the firm will, at least contemporaneously, be significantly lower than the rate they would pay in the United States</w:t>
      </w:r>
      <w:r>
        <w:rPr>
          <w:rFonts w:ascii="Times New Roman" w:hAnsi="Times New Roman" w:cs="Times New Roman"/>
          <w:sz w:val="24"/>
        </w:rPr>
        <w:t>, close to zero in the case of Apple</w:t>
      </w:r>
      <w:r w:rsidR="000008EC" w:rsidRPr="00446B5D">
        <w:rPr>
          <w:rFonts w:ascii="Times New Roman" w:hAnsi="Times New Roman" w:cs="Times New Roman"/>
          <w:sz w:val="24"/>
        </w:rPr>
        <w:t xml:space="preserve">. </w:t>
      </w:r>
    </w:p>
    <w:p w:rsidR="00830139" w:rsidRDefault="00446B5D" w:rsidP="007A418F">
      <w:pPr>
        <w:spacing w:line="480" w:lineRule="auto"/>
        <w:ind w:firstLine="720"/>
        <w:jc w:val="both"/>
        <w:rPr>
          <w:rFonts w:ascii="Times New Roman" w:hAnsi="Times New Roman" w:cs="Times New Roman"/>
          <w:sz w:val="24"/>
        </w:rPr>
      </w:pPr>
      <w:r w:rsidRPr="00446B5D">
        <w:rPr>
          <w:rFonts w:ascii="Times New Roman" w:hAnsi="Times New Roman" w:cs="Times New Roman"/>
          <w:sz w:val="24"/>
        </w:rPr>
        <w:t xml:space="preserve">The objective of our study is to estimate how much such variation in tax structure arising from global operations explains the variation in capital structure that we observe among publicly traded </w:t>
      </w:r>
      <w:r w:rsidR="0059557F">
        <w:rPr>
          <w:rFonts w:ascii="Times New Roman" w:hAnsi="Times New Roman" w:cs="Times New Roman"/>
          <w:sz w:val="24"/>
        </w:rPr>
        <w:t xml:space="preserve">multinational </w:t>
      </w:r>
      <w:r w:rsidRPr="00446B5D">
        <w:rPr>
          <w:rFonts w:ascii="Times New Roman" w:hAnsi="Times New Roman" w:cs="Times New Roman"/>
          <w:sz w:val="24"/>
        </w:rPr>
        <w:t xml:space="preserve">firms. Do those multinationals with significant earnings in low-tax jurisdictions rely significantly less on debt in their capital structure than otherwise equivalent firms that are </w:t>
      </w:r>
      <w:r w:rsidR="0059557F">
        <w:rPr>
          <w:rFonts w:ascii="Times New Roman" w:hAnsi="Times New Roman" w:cs="Times New Roman"/>
          <w:sz w:val="24"/>
        </w:rPr>
        <w:t>mostly</w:t>
      </w:r>
      <w:r w:rsidRPr="00446B5D">
        <w:rPr>
          <w:rFonts w:ascii="Times New Roman" w:hAnsi="Times New Roman" w:cs="Times New Roman"/>
          <w:sz w:val="24"/>
        </w:rPr>
        <w:t xml:space="preserve"> based in the United States? By how much does the locating of operations in low tax jurisdictions alter corporate financial structure?</w:t>
      </w:r>
    </w:p>
    <w:p w:rsidR="00446B5D" w:rsidRPr="00446B5D" w:rsidRDefault="00A6607C" w:rsidP="007A418F">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Unfortunately, data restrictions have made answering this question difficult because firms’ required public disclosures do not offer sufficient information to identify the tax jurisdiction where profits have been generated. </w:t>
      </w:r>
      <w:r w:rsidR="00446B5D" w:rsidRPr="00446B5D">
        <w:rPr>
          <w:rFonts w:ascii="Times New Roman" w:hAnsi="Times New Roman" w:cs="Times New Roman"/>
          <w:sz w:val="24"/>
        </w:rPr>
        <w:t>While foreign sales are a wide</w:t>
      </w:r>
      <w:r w:rsidR="0003244C">
        <w:rPr>
          <w:rFonts w:ascii="Times New Roman" w:hAnsi="Times New Roman" w:cs="Times New Roman"/>
          <w:sz w:val="24"/>
        </w:rPr>
        <w:t>ly populated dis</w:t>
      </w:r>
      <w:r w:rsidR="00446B5D" w:rsidRPr="00446B5D">
        <w:rPr>
          <w:rFonts w:ascii="Times New Roman" w:hAnsi="Times New Roman" w:cs="Times New Roman"/>
          <w:sz w:val="24"/>
        </w:rPr>
        <w:t>closure item in firms’ 10-K filings, the incomes of such foreign operations are not ne</w:t>
      </w:r>
      <w:r w:rsidR="00F87310">
        <w:rPr>
          <w:rFonts w:ascii="Times New Roman" w:hAnsi="Times New Roman" w:cs="Times New Roman"/>
          <w:sz w:val="24"/>
        </w:rPr>
        <w:t xml:space="preserve">arly as available. </w:t>
      </w:r>
      <w:r w:rsidR="0059557F">
        <w:rPr>
          <w:rFonts w:ascii="Times New Roman" w:hAnsi="Times New Roman" w:cs="Times New Roman"/>
          <w:sz w:val="24"/>
        </w:rPr>
        <w:t xml:space="preserve">Additionally, the disclosed location is often so generic that it does not allow a specific identification of the tax jurisdiction (e.g. a disclosure of </w:t>
      </w:r>
      <w:r w:rsidR="007A418F">
        <w:rPr>
          <w:rFonts w:ascii="Times New Roman" w:hAnsi="Times New Roman" w:cs="Times New Roman"/>
          <w:sz w:val="24"/>
        </w:rPr>
        <w:t xml:space="preserve">a </w:t>
      </w:r>
      <w:r w:rsidR="0059557F">
        <w:rPr>
          <w:rFonts w:ascii="Times New Roman" w:hAnsi="Times New Roman" w:cs="Times New Roman"/>
          <w:sz w:val="24"/>
        </w:rPr>
        <w:t xml:space="preserve">European </w:t>
      </w:r>
      <w:r w:rsidR="007A418F">
        <w:rPr>
          <w:rFonts w:ascii="Times New Roman" w:hAnsi="Times New Roman" w:cs="Times New Roman"/>
          <w:sz w:val="24"/>
        </w:rPr>
        <w:t>operat</w:t>
      </w:r>
      <w:r w:rsidR="0059557F">
        <w:rPr>
          <w:rFonts w:ascii="Times New Roman" w:hAnsi="Times New Roman" w:cs="Times New Roman"/>
          <w:sz w:val="24"/>
        </w:rPr>
        <w:t xml:space="preserve">ion does not indicate </w:t>
      </w:r>
      <w:r w:rsidR="0059557F">
        <w:rPr>
          <w:rFonts w:ascii="Times New Roman" w:hAnsi="Times New Roman" w:cs="Times New Roman"/>
          <w:sz w:val="24"/>
        </w:rPr>
        <w:lastRenderedPageBreak/>
        <w:t xml:space="preserve">how much revenue is generated in which specific European country).  </w:t>
      </w:r>
      <w:r w:rsidR="00F87310">
        <w:rPr>
          <w:rFonts w:ascii="Times New Roman" w:hAnsi="Times New Roman" w:cs="Times New Roman"/>
          <w:sz w:val="24"/>
        </w:rPr>
        <w:t>However, the Bureau of Economic Analysis</w:t>
      </w:r>
      <w:r w:rsidR="00446B5D" w:rsidRPr="00446B5D">
        <w:rPr>
          <w:rFonts w:ascii="Times New Roman" w:hAnsi="Times New Roman" w:cs="Times New Roman"/>
          <w:sz w:val="24"/>
        </w:rPr>
        <w:t xml:space="preserve"> </w:t>
      </w:r>
      <w:r w:rsidR="00F87310">
        <w:rPr>
          <w:rFonts w:ascii="Times New Roman" w:hAnsi="Times New Roman" w:cs="Times New Roman"/>
          <w:sz w:val="24"/>
        </w:rPr>
        <w:t>(</w:t>
      </w:r>
      <w:r w:rsidR="00446B5D" w:rsidRPr="00446B5D">
        <w:rPr>
          <w:rFonts w:ascii="Times New Roman" w:hAnsi="Times New Roman" w:cs="Times New Roman"/>
          <w:sz w:val="24"/>
        </w:rPr>
        <w:t>BEA</w:t>
      </w:r>
      <w:r w:rsidR="00F87310">
        <w:rPr>
          <w:rFonts w:ascii="Times New Roman" w:hAnsi="Times New Roman" w:cs="Times New Roman"/>
          <w:sz w:val="24"/>
        </w:rPr>
        <w:t xml:space="preserve">) </w:t>
      </w:r>
      <w:r>
        <w:rPr>
          <w:rFonts w:ascii="Times New Roman" w:hAnsi="Times New Roman" w:cs="Times New Roman"/>
          <w:sz w:val="24"/>
        </w:rPr>
        <w:t xml:space="preserve">conducts a </w:t>
      </w:r>
      <w:r w:rsidR="008F5F9F">
        <w:rPr>
          <w:rFonts w:ascii="Times New Roman" w:hAnsi="Times New Roman" w:cs="Times New Roman"/>
          <w:sz w:val="24"/>
        </w:rPr>
        <w:t>mandatory</w:t>
      </w:r>
      <w:r>
        <w:rPr>
          <w:rFonts w:ascii="Times New Roman" w:hAnsi="Times New Roman" w:cs="Times New Roman"/>
          <w:sz w:val="24"/>
        </w:rPr>
        <w:t xml:space="preserve"> </w:t>
      </w:r>
      <w:r w:rsidR="00F87310">
        <w:rPr>
          <w:rFonts w:ascii="Times New Roman" w:hAnsi="Times New Roman" w:cs="Times New Roman"/>
          <w:sz w:val="24"/>
        </w:rPr>
        <w:t xml:space="preserve">survey </w:t>
      </w:r>
      <w:r w:rsidR="008F5F9F">
        <w:rPr>
          <w:rFonts w:ascii="Times New Roman" w:hAnsi="Times New Roman" w:cs="Times New Roman"/>
          <w:sz w:val="24"/>
        </w:rPr>
        <w:t xml:space="preserve">of U.S. multinational companies </w:t>
      </w:r>
      <w:r>
        <w:rPr>
          <w:rFonts w:ascii="Times New Roman" w:hAnsi="Times New Roman" w:cs="Times New Roman"/>
          <w:sz w:val="24"/>
        </w:rPr>
        <w:t xml:space="preserve">that generates the </w:t>
      </w:r>
      <w:r w:rsidR="00F87310">
        <w:rPr>
          <w:rFonts w:ascii="Times New Roman" w:hAnsi="Times New Roman" w:cs="Times New Roman"/>
          <w:sz w:val="24"/>
        </w:rPr>
        <w:t>data</w:t>
      </w:r>
      <w:r w:rsidR="00446B5D" w:rsidRPr="00446B5D">
        <w:rPr>
          <w:rFonts w:ascii="Times New Roman" w:hAnsi="Times New Roman" w:cs="Times New Roman"/>
          <w:sz w:val="24"/>
        </w:rPr>
        <w:t xml:space="preserve"> </w:t>
      </w:r>
      <w:r>
        <w:rPr>
          <w:rFonts w:ascii="Times New Roman" w:hAnsi="Times New Roman" w:cs="Times New Roman"/>
          <w:sz w:val="24"/>
        </w:rPr>
        <w:t>that i</w:t>
      </w:r>
      <w:r w:rsidR="00FE0551">
        <w:rPr>
          <w:rFonts w:ascii="Times New Roman" w:hAnsi="Times New Roman" w:cs="Times New Roman"/>
          <w:sz w:val="24"/>
        </w:rPr>
        <w:t>s</w:t>
      </w:r>
      <w:r>
        <w:rPr>
          <w:rFonts w:ascii="Times New Roman" w:hAnsi="Times New Roman" w:cs="Times New Roman"/>
          <w:sz w:val="24"/>
        </w:rPr>
        <w:t xml:space="preserve"> needed to </w:t>
      </w:r>
      <w:r w:rsidR="00F87310">
        <w:rPr>
          <w:rFonts w:ascii="Times New Roman" w:hAnsi="Times New Roman" w:cs="Times New Roman"/>
          <w:sz w:val="24"/>
        </w:rPr>
        <w:t>address these data shortcomings</w:t>
      </w:r>
      <w:r w:rsidR="00011B73">
        <w:rPr>
          <w:rFonts w:ascii="Times New Roman" w:hAnsi="Times New Roman" w:cs="Times New Roman"/>
          <w:sz w:val="24"/>
        </w:rPr>
        <w:t>.</w:t>
      </w:r>
      <w:r w:rsidR="008F5F9F">
        <w:rPr>
          <w:rStyle w:val="FootnoteReference"/>
          <w:rFonts w:ascii="Times New Roman" w:hAnsi="Times New Roman" w:cs="Times New Roman"/>
          <w:sz w:val="24"/>
        </w:rPr>
        <w:footnoteReference w:id="1"/>
      </w:r>
      <w:r w:rsidR="00011B73">
        <w:rPr>
          <w:rFonts w:ascii="Times New Roman" w:hAnsi="Times New Roman" w:cs="Times New Roman"/>
          <w:sz w:val="24"/>
        </w:rPr>
        <w:t xml:space="preserve"> C</w:t>
      </w:r>
      <w:r w:rsidR="00446B5D" w:rsidRPr="00446B5D">
        <w:rPr>
          <w:rFonts w:ascii="Times New Roman" w:hAnsi="Times New Roman" w:cs="Times New Roman"/>
          <w:sz w:val="24"/>
        </w:rPr>
        <w:t>leaner data on the income and location of m</w:t>
      </w:r>
      <w:r w:rsidR="00011B73">
        <w:rPr>
          <w:rFonts w:ascii="Times New Roman" w:hAnsi="Times New Roman" w:cs="Times New Roman"/>
          <w:sz w:val="24"/>
        </w:rPr>
        <w:t xml:space="preserve">ultinational </w:t>
      </w:r>
      <w:r w:rsidR="00A3220A">
        <w:rPr>
          <w:rFonts w:ascii="Times New Roman" w:hAnsi="Times New Roman" w:cs="Times New Roman"/>
          <w:sz w:val="24"/>
        </w:rPr>
        <w:t>affiliate</w:t>
      </w:r>
      <w:r w:rsidR="00011B73">
        <w:rPr>
          <w:rFonts w:ascii="Times New Roman" w:hAnsi="Times New Roman" w:cs="Times New Roman"/>
          <w:sz w:val="24"/>
        </w:rPr>
        <w:t xml:space="preserve">s </w:t>
      </w:r>
      <w:r w:rsidR="00446B5D" w:rsidRPr="00446B5D">
        <w:rPr>
          <w:rFonts w:ascii="Times New Roman" w:hAnsi="Times New Roman" w:cs="Times New Roman"/>
          <w:sz w:val="24"/>
        </w:rPr>
        <w:t>enable</w:t>
      </w:r>
      <w:r w:rsidR="00011B73">
        <w:rPr>
          <w:rFonts w:ascii="Times New Roman" w:hAnsi="Times New Roman" w:cs="Times New Roman"/>
          <w:sz w:val="24"/>
        </w:rPr>
        <w:t>s</w:t>
      </w:r>
      <w:r w:rsidR="00446B5D" w:rsidRPr="00446B5D">
        <w:rPr>
          <w:rFonts w:ascii="Times New Roman" w:hAnsi="Times New Roman" w:cs="Times New Roman"/>
          <w:sz w:val="24"/>
        </w:rPr>
        <w:t xml:space="preserve"> significantly more reliable estimates of the true tax rates such firms confront and thereby provide</w:t>
      </w:r>
      <w:r w:rsidR="00011B73">
        <w:rPr>
          <w:rFonts w:ascii="Times New Roman" w:hAnsi="Times New Roman" w:cs="Times New Roman"/>
          <w:sz w:val="24"/>
        </w:rPr>
        <w:t>s</w:t>
      </w:r>
      <w:r w:rsidR="00446B5D" w:rsidRPr="00446B5D">
        <w:rPr>
          <w:rFonts w:ascii="Times New Roman" w:hAnsi="Times New Roman" w:cs="Times New Roman"/>
          <w:sz w:val="24"/>
        </w:rPr>
        <w:t xml:space="preserve"> for much stronger tests of the tax benefits of debt in explaining the observed variation in firm capital structures.</w:t>
      </w:r>
      <w:r w:rsidR="00011B73">
        <w:rPr>
          <w:rFonts w:ascii="Times New Roman" w:hAnsi="Times New Roman" w:cs="Times New Roman"/>
          <w:sz w:val="24"/>
        </w:rPr>
        <w:t xml:space="preserve"> </w:t>
      </w:r>
      <w:r w:rsidR="003A00BD">
        <w:rPr>
          <w:rFonts w:ascii="Times New Roman" w:hAnsi="Times New Roman" w:cs="Times New Roman"/>
          <w:sz w:val="24"/>
        </w:rPr>
        <w:t>We employ t</w:t>
      </w:r>
      <w:r w:rsidR="00011B73">
        <w:rPr>
          <w:rFonts w:ascii="Times New Roman" w:hAnsi="Times New Roman" w:cs="Times New Roman"/>
          <w:sz w:val="24"/>
        </w:rPr>
        <w:t>he BEA</w:t>
      </w:r>
      <w:r w:rsidR="003A00BD">
        <w:rPr>
          <w:rFonts w:ascii="Times New Roman" w:hAnsi="Times New Roman" w:cs="Times New Roman"/>
          <w:sz w:val="24"/>
        </w:rPr>
        <w:t>’s</w:t>
      </w:r>
      <w:r w:rsidR="00011B73">
        <w:rPr>
          <w:rFonts w:ascii="Times New Roman" w:hAnsi="Times New Roman" w:cs="Times New Roman"/>
          <w:sz w:val="24"/>
        </w:rPr>
        <w:t xml:space="preserve"> multinational firm data </w:t>
      </w:r>
      <w:r w:rsidR="003A00BD">
        <w:rPr>
          <w:rFonts w:ascii="Times New Roman" w:hAnsi="Times New Roman" w:cs="Times New Roman"/>
          <w:sz w:val="24"/>
        </w:rPr>
        <w:t>and a</w:t>
      </w:r>
      <w:r w:rsidR="00011B73">
        <w:rPr>
          <w:rFonts w:ascii="Times New Roman" w:hAnsi="Times New Roman" w:cs="Times New Roman"/>
          <w:sz w:val="24"/>
        </w:rPr>
        <w:t>ugment</w:t>
      </w:r>
      <w:r w:rsidR="003A00BD">
        <w:rPr>
          <w:rFonts w:ascii="Times New Roman" w:hAnsi="Times New Roman" w:cs="Times New Roman"/>
          <w:sz w:val="24"/>
        </w:rPr>
        <w:t xml:space="preserve"> it</w:t>
      </w:r>
      <w:r w:rsidR="00011B73">
        <w:rPr>
          <w:rFonts w:ascii="Times New Roman" w:hAnsi="Times New Roman" w:cs="Times New Roman"/>
          <w:sz w:val="24"/>
        </w:rPr>
        <w:t xml:space="preserve"> with </w:t>
      </w:r>
      <w:r w:rsidR="003A00BD">
        <w:rPr>
          <w:rFonts w:ascii="Times New Roman" w:hAnsi="Times New Roman" w:cs="Times New Roman"/>
          <w:sz w:val="24"/>
        </w:rPr>
        <w:t xml:space="preserve">international </w:t>
      </w:r>
      <w:r w:rsidR="00011B73">
        <w:rPr>
          <w:rFonts w:ascii="Times New Roman" w:hAnsi="Times New Roman" w:cs="Times New Roman"/>
          <w:sz w:val="24"/>
        </w:rPr>
        <w:t>tax data which contain</w:t>
      </w:r>
      <w:r w:rsidR="003A00BD">
        <w:rPr>
          <w:rFonts w:ascii="Times New Roman" w:hAnsi="Times New Roman" w:cs="Times New Roman"/>
          <w:sz w:val="24"/>
        </w:rPr>
        <w:t>s</w:t>
      </w:r>
      <w:r w:rsidR="00011B73">
        <w:rPr>
          <w:rFonts w:ascii="Times New Roman" w:hAnsi="Times New Roman" w:cs="Times New Roman"/>
          <w:sz w:val="24"/>
        </w:rPr>
        <w:t xml:space="preserve"> both statutory rates as well as progressive tax schedules where applicable.</w:t>
      </w:r>
    </w:p>
    <w:p w:rsidR="00446B5D" w:rsidRPr="00446B5D" w:rsidRDefault="00446B5D" w:rsidP="007A418F">
      <w:pPr>
        <w:spacing w:line="480" w:lineRule="auto"/>
        <w:ind w:firstLine="720"/>
        <w:jc w:val="both"/>
        <w:rPr>
          <w:rFonts w:ascii="Times New Roman" w:hAnsi="Times New Roman" w:cs="Times New Roman"/>
          <w:sz w:val="24"/>
        </w:rPr>
      </w:pPr>
      <w:r w:rsidRPr="00446B5D">
        <w:rPr>
          <w:rFonts w:ascii="Times New Roman" w:hAnsi="Times New Roman" w:cs="Times New Roman"/>
          <w:sz w:val="24"/>
        </w:rPr>
        <w:t>Since theory argues that financial decisions are driven by marginal rates, having tax rate estimates that are cl</w:t>
      </w:r>
      <w:r w:rsidR="00AA2582">
        <w:rPr>
          <w:rFonts w:ascii="Times New Roman" w:hAnsi="Times New Roman" w:cs="Times New Roman"/>
          <w:sz w:val="24"/>
        </w:rPr>
        <w:t xml:space="preserve">oser to </w:t>
      </w:r>
      <w:r w:rsidR="0059557F">
        <w:rPr>
          <w:rFonts w:ascii="Times New Roman" w:hAnsi="Times New Roman" w:cs="Times New Roman"/>
          <w:sz w:val="24"/>
        </w:rPr>
        <w:t xml:space="preserve">the true </w:t>
      </w:r>
      <w:r w:rsidR="00AA2582">
        <w:rPr>
          <w:rFonts w:ascii="Times New Roman" w:hAnsi="Times New Roman" w:cs="Times New Roman"/>
          <w:sz w:val="24"/>
        </w:rPr>
        <w:t>marginal rates</w:t>
      </w:r>
      <w:r w:rsidR="007A418F">
        <w:rPr>
          <w:rFonts w:ascii="Times New Roman" w:hAnsi="Times New Roman" w:cs="Times New Roman"/>
          <w:sz w:val="24"/>
        </w:rPr>
        <w:t xml:space="preserve"> that firms confront</w:t>
      </w:r>
      <w:r w:rsidR="0059557F">
        <w:rPr>
          <w:rFonts w:ascii="Times New Roman" w:hAnsi="Times New Roman" w:cs="Times New Roman"/>
          <w:sz w:val="24"/>
        </w:rPr>
        <w:t>, accounting for their international operations,</w:t>
      </w:r>
      <w:r w:rsidR="00AA2582">
        <w:rPr>
          <w:rFonts w:ascii="Times New Roman" w:hAnsi="Times New Roman" w:cs="Times New Roman"/>
          <w:sz w:val="24"/>
        </w:rPr>
        <w:t xml:space="preserve"> increases the precision of our work. Using our calculated weighted average tax rate, we</w:t>
      </w:r>
      <w:r w:rsidRPr="00446B5D">
        <w:rPr>
          <w:rFonts w:ascii="Times New Roman" w:hAnsi="Times New Roman" w:cs="Times New Roman"/>
          <w:sz w:val="24"/>
        </w:rPr>
        <w:t xml:space="preserve"> include otherwise identified explanatory variables for capital structure and</w:t>
      </w:r>
      <w:r w:rsidR="00830139">
        <w:rPr>
          <w:rFonts w:ascii="Times New Roman" w:hAnsi="Times New Roman" w:cs="Times New Roman"/>
          <w:sz w:val="24"/>
        </w:rPr>
        <w:t xml:space="preserve"> estimate in a multivariate re</w:t>
      </w:r>
      <w:r w:rsidRPr="00446B5D">
        <w:rPr>
          <w:rFonts w:ascii="Times New Roman" w:hAnsi="Times New Roman" w:cs="Times New Roman"/>
          <w:sz w:val="24"/>
        </w:rPr>
        <w:t>gression setting how much this variable improves our understanding of why capital structure varies across firms and</w:t>
      </w:r>
      <w:r w:rsidR="007A418F">
        <w:rPr>
          <w:rFonts w:ascii="Times New Roman" w:hAnsi="Times New Roman" w:cs="Times New Roman"/>
          <w:sz w:val="24"/>
        </w:rPr>
        <w:t>, to a lesser extent,</w:t>
      </w:r>
      <w:r w:rsidRPr="00446B5D">
        <w:rPr>
          <w:rFonts w:ascii="Times New Roman" w:hAnsi="Times New Roman" w:cs="Times New Roman"/>
          <w:sz w:val="24"/>
        </w:rPr>
        <w:t xml:space="preserve"> across time.</w:t>
      </w:r>
    </w:p>
    <w:p w:rsidR="00446B5D" w:rsidRDefault="003A00BD" w:rsidP="007A418F">
      <w:pPr>
        <w:spacing w:line="480" w:lineRule="auto"/>
        <w:ind w:firstLine="720"/>
        <w:jc w:val="both"/>
        <w:rPr>
          <w:rFonts w:ascii="Times New Roman" w:hAnsi="Times New Roman" w:cs="Times New Roman"/>
          <w:sz w:val="24"/>
        </w:rPr>
      </w:pPr>
      <w:r>
        <w:rPr>
          <w:rFonts w:ascii="Times New Roman" w:hAnsi="Times New Roman" w:cs="Times New Roman"/>
          <w:sz w:val="24"/>
        </w:rPr>
        <w:t>Consistent with theory, variation in corporate tax rates significantly explains observed variation in the capital structure of multinationals.  Over the time period for which we have data on multinational operations and tax rates, we find that firms that realize most of their income in low tax jurisdictions have corporate leverage ratios that are significantly lower</w:t>
      </w:r>
      <w:r w:rsidR="007A418F">
        <w:rPr>
          <w:rFonts w:ascii="Times New Roman" w:hAnsi="Times New Roman" w:cs="Times New Roman"/>
          <w:sz w:val="24"/>
        </w:rPr>
        <w:t>,</w:t>
      </w:r>
      <w:r>
        <w:rPr>
          <w:rFonts w:ascii="Times New Roman" w:hAnsi="Times New Roman" w:cs="Times New Roman"/>
          <w:sz w:val="24"/>
        </w:rPr>
        <w:t xml:space="preserve"> and interest coverage ratios that are significantly higher</w:t>
      </w:r>
      <w:r w:rsidR="007A418F">
        <w:rPr>
          <w:rFonts w:ascii="Times New Roman" w:hAnsi="Times New Roman" w:cs="Times New Roman"/>
          <w:sz w:val="24"/>
        </w:rPr>
        <w:t>,</w:t>
      </w:r>
      <w:r>
        <w:rPr>
          <w:rFonts w:ascii="Times New Roman" w:hAnsi="Times New Roman" w:cs="Times New Roman"/>
          <w:sz w:val="24"/>
        </w:rPr>
        <w:t xml:space="preserve"> than otherwise similar firms whose earnings are primarily derived in high corporate income tax jurisdictions.  These results are robust to </w:t>
      </w:r>
      <w:r>
        <w:rPr>
          <w:rFonts w:ascii="Times New Roman" w:hAnsi="Times New Roman" w:cs="Times New Roman"/>
          <w:sz w:val="24"/>
        </w:rPr>
        <w:lastRenderedPageBreak/>
        <w:t xml:space="preserve">incorporating cash into our leverage measures.  The results of this paper indicate that taxes do indeed have a first order effect on corporate </w:t>
      </w:r>
      <w:r w:rsidR="0059557F">
        <w:rPr>
          <w:rFonts w:ascii="Times New Roman" w:hAnsi="Times New Roman" w:cs="Times New Roman"/>
          <w:sz w:val="24"/>
        </w:rPr>
        <w:t>leverage decisions</w:t>
      </w:r>
      <w:r>
        <w:rPr>
          <w:rFonts w:ascii="Times New Roman" w:hAnsi="Times New Roman" w:cs="Times New Roman"/>
          <w:sz w:val="24"/>
        </w:rPr>
        <w:t>.</w:t>
      </w:r>
    </w:p>
    <w:p w:rsidR="0059557F" w:rsidRPr="00446B5D" w:rsidRDefault="00FA42D8" w:rsidP="007A418F">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Before proceeding, it is important to address the issue of endogeneity.  Our results document a correlation between high marginal tax rates and significantly greater use of leverage.  If the tax status of the firm were exogenous, our results would appropriately be </w:t>
      </w:r>
      <w:r w:rsidR="00AE7D0B">
        <w:rPr>
          <w:rFonts w:ascii="Times New Roman" w:hAnsi="Times New Roman" w:cs="Times New Roman"/>
          <w:sz w:val="24"/>
        </w:rPr>
        <w:t>interpret</w:t>
      </w:r>
      <w:r>
        <w:rPr>
          <w:rFonts w:ascii="Times New Roman" w:hAnsi="Times New Roman" w:cs="Times New Roman"/>
          <w:sz w:val="24"/>
        </w:rPr>
        <w:t>ed as th</w:t>
      </w:r>
      <w:r w:rsidR="003D785E">
        <w:rPr>
          <w:rFonts w:ascii="Times New Roman" w:hAnsi="Times New Roman" w:cs="Times New Roman"/>
          <w:sz w:val="24"/>
        </w:rPr>
        <w:t>e</w:t>
      </w:r>
      <w:r>
        <w:rPr>
          <w:rFonts w:ascii="Times New Roman" w:hAnsi="Times New Roman" w:cs="Times New Roman"/>
          <w:sz w:val="24"/>
        </w:rPr>
        <w:t xml:space="preserve"> variation in tax structure causing firms to vary their capital structure, as theorized.  However, tax structure arising from the locations of firm operations is endogenous; firms choose where to locate their </w:t>
      </w:r>
      <w:r w:rsidR="003D785E">
        <w:rPr>
          <w:rFonts w:ascii="Times New Roman" w:hAnsi="Times New Roman" w:cs="Times New Roman"/>
          <w:sz w:val="24"/>
        </w:rPr>
        <w:t xml:space="preserve">operations.  It is therefore equivalently appropriate to interpret the results as consistent with firms which have significant financial distress costs altering the location of their operations to shield their income from taxation.  In other words, firms with low financial distress costs may be less sensitive to the particular location of their operations </w:t>
      </w:r>
      <w:r w:rsidR="00AE7D0B">
        <w:rPr>
          <w:rFonts w:ascii="Times New Roman" w:hAnsi="Times New Roman" w:cs="Times New Roman"/>
          <w:sz w:val="24"/>
        </w:rPr>
        <w:t xml:space="preserve">(making such firms tax rates higher on average) </w:t>
      </w:r>
      <w:r w:rsidR="003D785E">
        <w:rPr>
          <w:rFonts w:ascii="Times New Roman" w:hAnsi="Times New Roman" w:cs="Times New Roman"/>
          <w:sz w:val="24"/>
        </w:rPr>
        <w:t xml:space="preserve">because they shield their income with interest expense arising from debt.  Those with high distress costs are more selective in where they operate </w:t>
      </w:r>
      <w:r w:rsidR="00AE7D0B">
        <w:rPr>
          <w:rFonts w:ascii="Times New Roman" w:hAnsi="Times New Roman" w:cs="Times New Roman"/>
          <w:sz w:val="24"/>
        </w:rPr>
        <w:t xml:space="preserve">(lower corporate tax rates on average) </w:t>
      </w:r>
      <w:r w:rsidR="003D785E">
        <w:rPr>
          <w:rFonts w:ascii="Times New Roman" w:hAnsi="Times New Roman" w:cs="Times New Roman"/>
          <w:sz w:val="24"/>
        </w:rPr>
        <w:t xml:space="preserve">because </w:t>
      </w:r>
      <w:r w:rsidR="00AE7D0B">
        <w:rPr>
          <w:rFonts w:ascii="Times New Roman" w:hAnsi="Times New Roman" w:cs="Times New Roman"/>
          <w:sz w:val="24"/>
        </w:rPr>
        <w:t xml:space="preserve">it is significantly more costly to </w:t>
      </w:r>
      <w:r w:rsidR="003D785E">
        <w:rPr>
          <w:rFonts w:ascii="Times New Roman" w:hAnsi="Times New Roman" w:cs="Times New Roman"/>
          <w:sz w:val="24"/>
        </w:rPr>
        <w:t>use debt to shield their income from taxation</w:t>
      </w:r>
      <w:r w:rsidR="00DF7359">
        <w:rPr>
          <w:rFonts w:ascii="Times New Roman" w:hAnsi="Times New Roman" w:cs="Times New Roman"/>
          <w:sz w:val="24"/>
        </w:rPr>
        <w:t xml:space="preserve"> than to alter the location of their operations</w:t>
      </w:r>
      <w:r w:rsidR="003D785E">
        <w:rPr>
          <w:rFonts w:ascii="Times New Roman" w:hAnsi="Times New Roman" w:cs="Times New Roman"/>
          <w:sz w:val="24"/>
        </w:rPr>
        <w:t xml:space="preserve">.  This interpretation is still consistent with </w:t>
      </w:r>
      <w:r w:rsidR="00AE7D0B">
        <w:rPr>
          <w:rFonts w:ascii="Times New Roman" w:hAnsi="Times New Roman" w:cs="Times New Roman"/>
          <w:sz w:val="24"/>
        </w:rPr>
        <w:t>debt</w:t>
      </w:r>
      <w:r w:rsidR="003D785E">
        <w:rPr>
          <w:rFonts w:ascii="Times New Roman" w:hAnsi="Times New Roman" w:cs="Times New Roman"/>
          <w:sz w:val="24"/>
        </w:rPr>
        <w:t xml:space="preserve"> </w:t>
      </w:r>
      <w:r w:rsidR="00AE7D0B">
        <w:rPr>
          <w:rFonts w:ascii="Times New Roman" w:hAnsi="Times New Roman" w:cs="Times New Roman"/>
          <w:sz w:val="24"/>
        </w:rPr>
        <w:t>as an instrument (potentially among many) to create value by reducing its corporate income taxes; whether firms use it depends upon the cost of locating its operations in particular tax jurisdictions relative to the financial distress costs of using debt.</w:t>
      </w:r>
    </w:p>
    <w:p w:rsidR="00446B5D" w:rsidRPr="00446B5D" w:rsidRDefault="003A00BD" w:rsidP="007A418F">
      <w:pPr>
        <w:spacing w:line="480" w:lineRule="auto"/>
        <w:ind w:firstLine="720"/>
        <w:jc w:val="both"/>
        <w:rPr>
          <w:rFonts w:ascii="Times New Roman" w:hAnsi="Times New Roman" w:cs="Times New Roman"/>
          <w:sz w:val="24"/>
        </w:rPr>
      </w:pPr>
      <w:r>
        <w:rPr>
          <w:rFonts w:ascii="Times New Roman" w:hAnsi="Times New Roman" w:cs="Times New Roman"/>
          <w:sz w:val="24"/>
        </w:rPr>
        <w:t>The remainder of this paper</w:t>
      </w:r>
      <w:r w:rsidR="00446B5D" w:rsidRPr="00446B5D">
        <w:rPr>
          <w:rFonts w:ascii="Times New Roman" w:hAnsi="Times New Roman" w:cs="Times New Roman"/>
          <w:sz w:val="24"/>
        </w:rPr>
        <w:t xml:space="preserve"> is structured as follows. Section I</w:t>
      </w:r>
      <w:r w:rsidR="0069688D">
        <w:rPr>
          <w:rFonts w:ascii="Times New Roman" w:hAnsi="Times New Roman" w:cs="Times New Roman"/>
          <w:sz w:val="24"/>
        </w:rPr>
        <w:t>I</w:t>
      </w:r>
      <w:r w:rsidR="00446B5D" w:rsidRPr="00446B5D">
        <w:rPr>
          <w:rFonts w:ascii="Times New Roman" w:hAnsi="Times New Roman" w:cs="Times New Roman"/>
          <w:sz w:val="24"/>
        </w:rPr>
        <w:t xml:space="preserve"> contains a brief review of the relevant literature on capital structure and international operations. Section II</w:t>
      </w:r>
      <w:r w:rsidR="0069688D">
        <w:rPr>
          <w:rFonts w:ascii="Times New Roman" w:hAnsi="Times New Roman" w:cs="Times New Roman"/>
          <w:sz w:val="24"/>
        </w:rPr>
        <w:t>I</w:t>
      </w:r>
      <w:r w:rsidR="00446B5D" w:rsidRPr="00446B5D">
        <w:rPr>
          <w:rFonts w:ascii="Times New Roman" w:hAnsi="Times New Roman" w:cs="Times New Roman"/>
          <w:sz w:val="24"/>
        </w:rPr>
        <w:t xml:space="preserve"> explains the empir</w:t>
      </w:r>
      <w:r w:rsidR="0069688D">
        <w:rPr>
          <w:rFonts w:ascii="Times New Roman" w:hAnsi="Times New Roman" w:cs="Times New Roman"/>
          <w:sz w:val="24"/>
        </w:rPr>
        <w:t>ical methodology</w:t>
      </w:r>
      <w:r w:rsidR="00446B5D" w:rsidRPr="00446B5D">
        <w:rPr>
          <w:rFonts w:ascii="Times New Roman" w:hAnsi="Times New Roman" w:cs="Times New Roman"/>
          <w:sz w:val="24"/>
        </w:rPr>
        <w:t xml:space="preserve"> </w:t>
      </w:r>
      <w:r w:rsidR="009964D4">
        <w:rPr>
          <w:rFonts w:ascii="Times New Roman" w:hAnsi="Times New Roman" w:cs="Times New Roman"/>
          <w:sz w:val="24"/>
        </w:rPr>
        <w:t xml:space="preserve">and data </w:t>
      </w:r>
      <w:r w:rsidR="0069688D">
        <w:rPr>
          <w:rFonts w:ascii="Times New Roman" w:hAnsi="Times New Roman" w:cs="Times New Roman"/>
          <w:sz w:val="24"/>
        </w:rPr>
        <w:t xml:space="preserve">used </w:t>
      </w:r>
      <w:r w:rsidR="00446B5D" w:rsidRPr="00446B5D">
        <w:rPr>
          <w:rFonts w:ascii="Times New Roman" w:hAnsi="Times New Roman" w:cs="Times New Roman"/>
          <w:sz w:val="24"/>
        </w:rPr>
        <w:t>to estimate whether variation in foreign operations affects how firms structure the</w:t>
      </w:r>
      <w:r w:rsidR="0069688D">
        <w:rPr>
          <w:rFonts w:ascii="Times New Roman" w:hAnsi="Times New Roman" w:cs="Times New Roman"/>
          <w:sz w:val="24"/>
        </w:rPr>
        <w:t xml:space="preserve">ir external capital. Section </w:t>
      </w:r>
      <w:r w:rsidR="009964D4">
        <w:rPr>
          <w:rFonts w:ascii="Times New Roman" w:hAnsi="Times New Roman" w:cs="Times New Roman"/>
          <w:sz w:val="24"/>
        </w:rPr>
        <w:t>I</w:t>
      </w:r>
      <w:r w:rsidR="0069688D">
        <w:rPr>
          <w:rFonts w:ascii="Times New Roman" w:hAnsi="Times New Roman" w:cs="Times New Roman"/>
          <w:sz w:val="24"/>
        </w:rPr>
        <w:t xml:space="preserve">V describes our results.  Finally, Section V concludes. </w:t>
      </w:r>
    </w:p>
    <w:p w:rsidR="00606CEE" w:rsidRDefault="00606CEE" w:rsidP="00446B5D">
      <w:pPr>
        <w:rPr>
          <w:rFonts w:ascii="Times New Roman" w:hAnsi="Times New Roman" w:cs="Times New Roman"/>
          <w:b/>
          <w:sz w:val="28"/>
        </w:rPr>
      </w:pPr>
    </w:p>
    <w:p w:rsidR="00AE7D0B" w:rsidRDefault="00AE7D0B" w:rsidP="00446B5D">
      <w:pPr>
        <w:rPr>
          <w:rFonts w:ascii="Times New Roman" w:hAnsi="Times New Roman" w:cs="Times New Roman"/>
          <w:b/>
          <w:sz w:val="28"/>
        </w:rPr>
      </w:pPr>
    </w:p>
    <w:p w:rsidR="00446B5D" w:rsidRPr="0022460F" w:rsidRDefault="00830139" w:rsidP="00446B5D">
      <w:pPr>
        <w:rPr>
          <w:rFonts w:ascii="Times New Roman" w:hAnsi="Times New Roman" w:cs="Times New Roman"/>
          <w:b/>
          <w:sz w:val="28"/>
        </w:rPr>
      </w:pPr>
      <w:r w:rsidRPr="0022460F">
        <w:rPr>
          <w:rFonts w:ascii="Times New Roman" w:hAnsi="Times New Roman" w:cs="Times New Roman"/>
          <w:b/>
          <w:sz w:val="28"/>
        </w:rPr>
        <w:t>II. Literature Review</w:t>
      </w:r>
    </w:p>
    <w:p w:rsidR="0022460F" w:rsidRDefault="0022460F" w:rsidP="007A418F">
      <w:pPr>
        <w:spacing w:line="480" w:lineRule="auto"/>
        <w:ind w:firstLine="720"/>
        <w:jc w:val="both"/>
        <w:rPr>
          <w:rFonts w:ascii="Times New Roman" w:hAnsi="Times New Roman" w:cs="Times New Roman"/>
          <w:sz w:val="24"/>
          <w:szCs w:val="24"/>
        </w:rPr>
      </w:pPr>
      <w:r w:rsidRPr="0022460F">
        <w:rPr>
          <w:rFonts w:ascii="Times New Roman" w:hAnsi="Times New Roman" w:cs="Times New Roman"/>
          <w:sz w:val="24"/>
          <w:szCs w:val="24"/>
        </w:rPr>
        <w:t xml:space="preserve">Capital structure research is focused broadly on two traditional views: the trade-off theory where a firm balances the costs and benefits of debt to yield an optimal leverage ratio and the pecking order theory of Myers (1984) which minimizes the adverse selection costs associated with security issuance. Graham and Leary (2011) </w:t>
      </w:r>
      <w:r w:rsidR="000008EC" w:rsidRPr="0022460F">
        <w:rPr>
          <w:rFonts w:ascii="Times New Roman" w:hAnsi="Times New Roman" w:cs="Times New Roman"/>
          <w:sz w:val="24"/>
          <w:szCs w:val="24"/>
        </w:rPr>
        <w:t>provide</w:t>
      </w:r>
      <w:r w:rsidRPr="0022460F">
        <w:rPr>
          <w:rFonts w:ascii="Times New Roman" w:hAnsi="Times New Roman" w:cs="Times New Roman"/>
          <w:sz w:val="24"/>
          <w:szCs w:val="24"/>
        </w:rPr>
        <w:t xml:space="preserve"> a thorough review of the capital structure literature. Much empirical work on the trade-off theory has focused on explaining debt levels and adjustment toward</w:t>
      </w:r>
      <w:r w:rsidR="006F78FC">
        <w:rPr>
          <w:rFonts w:ascii="Times New Roman" w:hAnsi="Times New Roman" w:cs="Times New Roman"/>
          <w:sz w:val="24"/>
          <w:szCs w:val="24"/>
        </w:rPr>
        <w:t xml:space="preserve"> a</w:t>
      </w:r>
      <w:r w:rsidRPr="0022460F">
        <w:rPr>
          <w:rFonts w:ascii="Times New Roman" w:hAnsi="Times New Roman" w:cs="Times New Roman"/>
          <w:sz w:val="24"/>
          <w:szCs w:val="24"/>
        </w:rPr>
        <w:t xml:space="preserve"> target leverage ratio (e.g. Leary and Roberts (2005), Flannery and Rangan (2006), Lemmon, Roberts, and Zender (2008), and Frank and Goyal (2009)). Although there appears to be consensus (Welch (2004) being a notable exception) that firms do have a leverage target, adjustment toward that target appears to be very slow. Faulkender, Flannery, Hankins, and Smith (2012) show that in certain cross-sections firms will move quickly toward target leverage. Although Graham (1996</w:t>
      </w:r>
      <w:r w:rsidR="0024140D">
        <w:rPr>
          <w:rFonts w:ascii="Times New Roman" w:hAnsi="Times New Roman" w:cs="Times New Roman"/>
          <w:sz w:val="24"/>
          <w:szCs w:val="24"/>
        </w:rPr>
        <w:t>a</w:t>
      </w:r>
      <w:r w:rsidRPr="0022460F">
        <w:rPr>
          <w:rFonts w:ascii="Times New Roman" w:hAnsi="Times New Roman" w:cs="Times New Roman"/>
          <w:sz w:val="24"/>
          <w:szCs w:val="24"/>
        </w:rPr>
        <w:t xml:space="preserve">) finds evidence of higher marginal tax rate firms using more debt, it doesn’t appear to be a first order concern. </w:t>
      </w:r>
      <w:r w:rsidR="000008EC">
        <w:rPr>
          <w:rFonts w:ascii="Times New Roman" w:hAnsi="Times New Roman" w:cs="Times New Roman"/>
          <w:sz w:val="24"/>
          <w:szCs w:val="24"/>
        </w:rPr>
        <w:t>Graham (1996b) further demon</w:t>
      </w:r>
      <w:r w:rsidR="000008EC" w:rsidRPr="0022460F">
        <w:rPr>
          <w:rFonts w:ascii="Times New Roman" w:hAnsi="Times New Roman" w:cs="Times New Roman"/>
          <w:sz w:val="24"/>
          <w:szCs w:val="24"/>
        </w:rPr>
        <w:t xml:space="preserve">strates that simulated tax rates are the best proxy for the “true” marginal tax rate. </w:t>
      </w:r>
      <w:r w:rsidRPr="0022460F">
        <w:rPr>
          <w:rFonts w:ascii="Times New Roman" w:hAnsi="Times New Roman" w:cs="Times New Roman"/>
          <w:sz w:val="24"/>
          <w:szCs w:val="24"/>
        </w:rPr>
        <w:t>The open question remains: why do firms consistently carry lower than anticipated levels of debt given the significant benefits that theoretically arise from using debt to shield income from corporate taxes?</w:t>
      </w:r>
    </w:p>
    <w:p w:rsidR="00BA0C47" w:rsidRPr="0022460F" w:rsidRDefault="00BA0C47"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Faulkender and Petersen (2012), among others, discuss the tax considerations firms make when determining whether to keep earnings in their foreign subsidiaries versus repatriating them immediately.  Essentially, the US tax code treats symmetrically the earnings of domestic and foreign operations when the foreign earnings are repatriated in the same year that they are </w:t>
      </w:r>
      <w:r>
        <w:rPr>
          <w:rFonts w:ascii="Times New Roman" w:hAnsi="Times New Roman" w:cs="Times New Roman"/>
          <w:sz w:val="24"/>
          <w:szCs w:val="24"/>
        </w:rPr>
        <w:lastRenderedPageBreak/>
        <w:t>earned.  The US tax code grosses up the amount of the earnings repatriated to the domestic parent by the foreign tax rate to arrive at the original operating earnings value and then applies the US tax rate</w:t>
      </w:r>
      <w:r w:rsidR="0093366B">
        <w:rPr>
          <w:rFonts w:ascii="Times New Roman" w:hAnsi="Times New Roman" w:cs="Times New Roman"/>
          <w:sz w:val="24"/>
          <w:szCs w:val="24"/>
        </w:rPr>
        <w:t xml:space="preserve"> less a credit for taxes paid by the foreign </w:t>
      </w:r>
      <w:r w:rsidR="001C1DBA">
        <w:rPr>
          <w:rFonts w:ascii="Times New Roman" w:hAnsi="Times New Roman" w:cs="Times New Roman"/>
          <w:sz w:val="24"/>
          <w:szCs w:val="24"/>
        </w:rPr>
        <w:t>affiliate</w:t>
      </w:r>
      <w:r w:rsidR="0093366B">
        <w:rPr>
          <w:rFonts w:ascii="Times New Roman" w:hAnsi="Times New Roman" w:cs="Times New Roman"/>
          <w:sz w:val="24"/>
          <w:szCs w:val="24"/>
        </w:rPr>
        <w:t xml:space="preserve"> on those earnings.  As Faulkender and Petersen (2012) explain, taxes are the same in those cases.  However, because the US tax implications arise when the earnings are repatriated, not when they are earned, a significant deferral benefit is realized when those earnings are left in the foreign subsidiary.  For a firm that anticipates permanently retaining those earnings in its foreign subsidiary, th</w:t>
      </w:r>
      <w:r w:rsidR="00DF7359">
        <w:rPr>
          <w:rFonts w:ascii="Times New Roman" w:hAnsi="Times New Roman" w:cs="Times New Roman"/>
          <w:sz w:val="24"/>
          <w:szCs w:val="24"/>
        </w:rPr>
        <w:t>e</w:t>
      </w:r>
      <w:r w:rsidR="0093366B">
        <w:rPr>
          <w:rFonts w:ascii="Times New Roman" w:hAnsi="Times New Roman" w:cs="Times New Roman"/>
          <w:sz w:val="24"/>
          <w:szCs w:val="24"/>
        </w:rPr>
        <w:t xml:space="preserve"> US tax code is irrelevant; it is the foreign tax rate that is binding on those earnings.</w:t>
      </w:r>
    </w:p>
    <w:p w:rsidR="00830139" w:rsidRDefault="00746C81"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We</w:t>
      </w:r>
      <w:r w:rsidR="0022460F" w:rsidRPr="0022460F">
        <w:rPr>
          <w:rFonts w:ascii="Times New Roman" w:hAnsi="Times New Roman" w:cs="Times New Roman"/>
          <w:sz w:val="24"/>
          <w:szCs w:val="24"/>
        </w:rPr>
        <w:t xml:space="preserve"> test whether firms with significant foreign operations in low tax jurisdictions carry less debt (and whose effective marginal tax rate has been overestimated by previous work), thereby demonstrating the first order nature of corporate taxes in the capital structure decisions of firms. </w:t>
      </w:r>
      <w:r w:rsidR="000008EC" w:rsidRPr="0022460F">
        <w:rPr>
          <w:rFonts w:ascii="Times New Roman" w:hAnsi="Times New Roman" w:cs="Times New Roman"/>
          <w:sz w:val="24"/>
          <w:szCs w:val="24"/>
        </w:rPr>
        <w:t>Foley, Hartzell, Titman, and Twite (2007) find that firms will increase or decrease cash holdings in foreign affiliates depending on</w:t>
      </w:r>
      <w:r w:rsidR="000008EC">
        <w:rPr>
          <w:rFonts w:ascii="Times New Roman" w:hAnsi="Times New Roman" w:cs="Times New Roman"/>
          <w:sz w:val="24"/>
          <w:szCs w:val="24"/>
        </w:rPr>
        <w:t xml:space="preserve"> the tax burden from repatriat</w:t>
      </w:r>
      <w:r w:rsidR="000008EC" w:rsidRPr="0022460F">
        <w:rPr>
          <w:rFonts w:ascii="Times New Roman" w:hAnsi="Times New Roman" w:cs="Times New Roman"/>
          <w:sz w:val="24"/>
          <w:szCs w:val="24"/>
        </w:rPr>
        <w:t xml:space="preserve">ing foreign income. </w:t>
      </w:r>
      <w:r w:rsidR="00A16E42">
        <w:rPr>
          <w:rFonts w:ascii="Times New Roman" w:hAnsi="Times New Roman" w:cs="Times New Roman"/>
          <w:sz w:val="24"/>
          <w:szCs w:val="24"/>
        </w:rPr>
        <w:t>This paper</w:t>
      </w:r>
      <w:r w:rsidR="0022460F" w:rsidRPr="0022460F">
        <w:rPr>
          <w:rFonts w:ascii="Times New Roman" w:hAnsi="Times New Roman" w:cs="Times New Roman"/>
          <w:sz w:val="24"/>
          <w:szCs w:val="24"/>
        </w:rPr>
        <w:t xml:space="preserve"> use</w:t>
      </w:r>
      <w:r w:rsidR="00A16E42">
        <w:rPr>
          <w:rFonts w:ascii="Times New Roman" w:hAnsi="Times New Roman" w:cs="Times New Roman"/>
          <w:sz w:val="24"/>
          <w:szCs w:val="24"/>
        </w:rPr>
        <w:t>s</w:t>
      </w:r>
      <w:r w:rsidR="0022460F" w:rsidRPr="0022460F">
        <w:rPr>
          <w:rFonts w:ascii="Times New Roman" w:hAnsi="Times New Roman" w:cs="Times New Roman"/>
          <w:sz w:val="24"/>
          <w:szCs w:val="24"/>
        </w:rPr>
        <w:t xml:space="preserve"> similar data to explain firm debt levels after accounting for the relevant tax implications of foreign earnings. </w:t>
      </w:r>
      <w:r w:rsidR="000008EC" w:rsidRPr="0022460F">
        <w:rPr>
          <w:rFonts w:ascii="Times New Roman" w:hAnsi="Times New Roman" w:cs="Times New Roman"/>
          <w:sz w:val="24"/>
          <w:szCs w:val="24"/>
        </w:rPr>
        <w:t xml:space="preserve">Several papers have made use of firm-level </w:t>
      </w:r>
      <w:r w:rsidR="000008EC">
        <w:rPr>
          <w:rFonts w:ascii="Times New Roman" w:hAnsi="Times New Roman" w:cs="Times New Roman"/>
          <w:sz w:val="24"/>
          <w:szCs w:val="24"/>
        </w:rPr>
        <w:t>data on U.S. multinational com</w:t>
      </w:r>
      <w:r w:rsidR="000008EC" w:rsidRPr="0022460F">
        <w:rPr>
          <w:rFonts w:ascii="Times New Roman" w:hAnsi="Times New Roman" w:cs="Times New Roman"/>
          <w:sz w:val="24"/>
          <w:szCs w:val="24"/>
        </w:rPr>
        <w:t xml:space="preserve">panies within the Bureau of Economic Analysis. </w:t>
      </w:r>
      <w:r w:rsidR="0022460F" w:rsidRPr="0022460F">
        <w:rPr>
          <w:rFonts w:ascii="Times New Roman" w:hAnsi="Times New Roman" w:cs="Times New Roman"/>
          <w:sz w:val="24"/>
          <w:szCs w:val="24"/>
        </w:rPr>
        <w:t xml:space="preserve">Antras, Desai, and Foley (2009) use the direct or indirect ownership or control by a single U.S. legal entity as a direct investment to analyze costly financial contracting and weak investor protection influence across borders. </w:t>
      </w:r>
      <w:r w:rsidR="000008EC" w:rsidRPr="0022460F">
        <w:rPr>
          <w:rFonts w:ascii="Times New Roman" w:hAnsi="Times New Roman" w:cs="Times New Roman"/>
          <w:sz w:val="24"/>
          <w:szCs w:val="24"/>
        </w:rPr>
        <w:t xml:space="preserve">Desai, Foley, and Forbes (2008) use multinational firm data to analyze how </w:t>
      </w:r>
      <w:r w:rsidR="000008EC">
        <w:rPr>
          <w:rFonts w:ascii="Times New Roman" w:hAnsi="Times New Roman" w:cs="Times New Roman"/>
          <w:sz w:val="24"/>
          <w:szCs w:val="24"/>
        </w:rPr>
        <w:t>financial constraints and prod</w:t>
      </w:r>
      <w:r w:rsidR="000008EC" w:rsidRPr="0022460F">
        <w:rPr>
          <w:rFonts w:ascii="Times New Roman" w:hAnsi="Times New Roman" w:cs="Times New Roman"/>
          <w:sz w:val="24"/>
          <w:szCs w:val="24"/>
        </w:rPr>
        <w:t xml:space="preserve">uct market exposures determine the response to sharp depreciations. </w:t>
      </w:r>
      <w:r w:rsidR="0022460F" w:rsidRPr="0022460F">
        <w:rPr>
          <w:rFonts w:ascii="Times New Roman" w:hAnsi="Times New Roman" w:cs="Times New Roman"/>
          <w:sz w:val="24"/>
          <w:szCs w:val="24"/>
        </w:rPr>
        <w:t>Desai, Foley, and Hines (2011) analyze the extent to which tax deferral and other policies inefficiently subsidize U.S. direct investment abroad.</w:t>
      </w:r>
    </w:p>
    <w:p w:rsidR="00B03905" w:rsidRDefault="00B03905" w:rsidP="0022460F">
      <w:pPr>
        <w:spacing w:line="480" w:lineRule="auto"/>
        <w:rPr>
          <w:rFonts w:ascii="Times New Roman" w:hAnsi="Times New Roman" w:cs="Times New Roman"/>
          <w:b/>
          <w:sz w:val="28"/>
          <w:szCs w:val="24"/>
        </w:rPr>
      </w:pPr>
    </w:p>
    <w:p w:rsidR="00B03905" w:rsidRDefault="00B03905" w:rsidP="0022460F">
      <w:pPr>
        <w:spacing w:line="480" w:lineRule="auto"/>
        <w:rPr>
          <w:rFonts w:ascii="Times New Roman" w:hAnsi="Times New Roman" w:cs="Times New Roman"/>
          <w:b/>
          <w:sz w:val="28"/>
          <w:szCs w:val="24"/>
        </w:rPr>
      </w:pPr>
    </w:p>
    <w:p w:rsidR="0022460F" w:rsidRDefault="0022460F" w:rsidP="0022460F">
      <w:pPr>
        <w:spacing w:line="480" w:lineRule="auto"/>
        <w:rPr>
          <w:rFonts w:ascii="Times New Roman" w:hAnsi="Times New Roman" w:cs="Times New Roman"/>
          <w:b/>
          <w:sz w:val="28"/>
          <w:szCs w:val="24"/>
        </w:rPr>
      </w:pPr>
      <w:r w:rsidRPr="0022460F">
        <w:rPr>
          <w:rFonts w:ascii="Times New Roman" w:hAnsi="Times New Roman" w:cs="Times New Roman"/>
          <w:b/>
          <w:sz w:val="28"/>
          <w:szCs w:val="24"/>
        </w:rPr>
        <w:t>III. Empirical Methodology</w:t>
      </w:r>
      <w:r w:rsidR="00CE4EC5">
        <w:rPr>
          <w:rFonts w:ascii="Times New Roman" w:hAnsi="Times New Roman" w:cs="Times New Roman"/>
          <w:b/>
          <w:sz w:val="28"/>
          <w:szCs w:val="24"/>
        </w:rPr>
        <w:t xml:space="preserve"> and Data</w:t>
      </w:r>
    </w:p>
    <w:p w:rsidR="0022460F" w:rsidRDefault="000008EC" w:rsidP="007A418F">
      <w:pPr>
        <w:spacing w:line="480" w:lineRule="auto"/>
        <w:ind w:firstLine="720"/>
        <w:jc w:val="both"/>
        <w:rPr>
          <w:rFonts w:ascii="Times New Roman" w:hAnsi="Times New Roman" w:cs="Times New Roman"/>
          <w:sz w:val="24"/>
          <w:szCs w:val="24"/>
        </w:rPr>
      </w:pPr>
      <w:r w:rsidRPr="0022460F">
        <w:rPr>
          <w:rFonts w:ascii="Times New Roman" w:hAnsi="Times New Roman" w:cs="Times New Roman"/>
          <w:sz w:val="24"/>
          <w:szCs w:val="24"/>
        </w:rPr>
        <w:t xml:space="preserve">Our objective is to better understand the </w:t>
      </w:r>
      <w:r>
        <w:rPr>
          <w:rFonts w:ascii="Times New Roman" w:hAnsi="Times New Roman" w:cs="Times New Roman"/>
          <w:sz w:val="24"/>
          <w:szCs w:val="24"/>
        </w:rPr>
        <w:t>vari</w:t>
      </w:r>
      <w:r w:rsidRPr="0022460F">
        <w:rPr>
          <w:rFonts w:ascii="Times New Roman" w:hAnsi="Times New Roman" w:cs="Times New Roman"/>
          <w:sz w:val="24"/>
          <w:szCs w:val="24"/>
        </w:rPr>
        <w:t>ation in leverage ratios observed in the data. Recent work (</w:t>
      </w:r>
      <w:r w:rsidR="00EF2D0E">
        <w:rPr>
          <w:rFonts w:ascii="Times New Roman" w:hAnsi="Times New Roman" w:cs="Times New Roman"/>
          <w:sz w:val="24"/>
          <w:szCs w:val="24"/>
        </w:rPr>
        <w:t xml:space="preserve">e.g. </w:t>
      </w:r>
      <w:r w:rsidRPr="0022460F">
        <w:rPr>
          <w:rFonts w:ascii="Times New Roman" w:hAnsi="Times New Roman" w:cs="Times New Roman"/>
          <w:sz w:val="24"/>
          <w:szCs w:val="24"/>
        </w:rPr>
        <w:t>Lemmon, Roberts, and Zender (2008)</w:t>
      </w:r>
      <w:r w:rsidR="00EF2D0E">
        <w:rPr>
          <w:rFonts w:ascii="Times New Roman" w:hAnsi="Times New Roman" w:cs="Times New Roman"/>
          <w:sz w:val="24"/>
          <w:szCs w:val="24"/>
        </w:rPr>
        <w:t>)</w:t>
      </w:r>
      <w:r w:rsidRPr="0022460F">
        <w:rPr>
          <w:rFonts w:ascii="Times New Roman" w:hAnsi="Times New Roman" w:cs="Times New Roman"/>
          <w:sz w:val="24"/>
          <w:szCs w:val="24"/>
        </w:rPr>
        <w:t xml:space="preserve"> points to a significant firm-</w:t>
      </w:r>
      <w:r>
        <w:rPr>
          <w:rFonts w:ascii="Times New Roman" w:hAnsi="Times New Roman" w:cs="Times New Roman"/>
          <w:sz w:val="24"/>
          <w:szCs w:val="24"/>
        </w:rPr>
        <w:t>specific, time-invariant compo</w:t>
      </w:r>
      <w:r w:rsidRPr="0022460F">
        <w:rPr>
          <w:rFonts w:ascii="Times New Roman" w:hAnsi="Times New Roman" w:cs="Times New Roman"/>
          <w:sz w:val="24"/>
          <w:szCs w:val="24"/>
        </w:rPr>
        <w:t xml:space="preserve">nent that explains leverage that is currently absent from standard empirical specifications. </w:t>
      </w:r>
      <w:r w:rsidR="0022460F" w:rsidRPr="0022460F">
        <w:rPr>
          <w:rFonts w:ascii="Times New Roman" w:hAnsi="Times New Roman" w:cs="Times New Roman"/>
          <w:sz w:val="24"/>
          <w:szCs w:val="24"/>
        </w:rPr>
        <w:t>Recognize that such a characteristic could be a factor not yet identified by the literature or alternatively an already determined f</w:t>
      </w:r>
      <w:r w:rsidR="00D24172">
        <w:rPr>
          <w:rFonts w:ascii="Times New Roman" w:hAnsi="Times New Roman" w:cs="Times New Roman"/>
          <w:sz w:val="24"/>
          <w:szCs w:val="24"/>
        </w:rPr>
        <w:t>actor that is persistently mise</w:t>
      </w:r>
      <w:r w:rsidR="00D24172" w:rsidRPr="0022460F">
        <w:rPr>
          <w:rFonts w:ascii="Times New Roman" w:hAnsi="Times New Roman" w:cs="Times New Roman"/>
          <w:sz w:val="24"/>
          <w:szCs w:val="24"/>
        </w:rPr>
        <w:t>stimated</w:t>
      </w:r>
      <w:r w:rsidR="00D24172">
        <w:rPr>
          <w:rFonts w:ascii="Times New Roman" w:hAnsi="Times New Roman" w:cs="Times New Roman"/>
          <w:sz w:val="24"/>
          <w:szCs w:val="24"/>
        </w:rPr>
        <w:t>. In this study, we argue</w:t>
      </w:r>
      <w:r w:rsidR="0022460F" w:rsidRPr="0022460F">
        <w:rPr>
          <w:rFonts w:ascii="Times New Roman" w:hAnsi="Times New Roman" w:cs="Times New Roman"/>
          <w:sz w:val="24"/>
          <w:szCs w:val="24"/>
        </w:rPr>
        <w:t xml:space="preserve"> that the locations and tax implications of firms’ international operations are a persistent, firm-specific characteristic that theory has identified as a factor that could explain leverage</w:t>
      </w:r>
      <w:r w:rsidR="00DF642C">
        <w:rPr>
          <w:rFonts w:ascii="Times New Roman" w:hAnsi="Times New Roman" w:cs="Times New Roman"/>
          <w:sz w:val="24"/>
          <w:szCs w:val="24"/>
        </w:rPr>
        <w:t>,</w:t>
      </w:r>
      <w:r w:rsidR="0022460F" w:rsidRPr="0022460F">
        <w:rPr>
          <w:rFonts w:ascii="Times New Roman" w:hAnsi="Times New Roman" w:cs="Times New Roman"/>
          <w:sz w:val="24"/>
          <w:szCs w:val="24"/>
        </w:rPr>
        <w:t xml:space="preserve"> but that previous examinatio</w:t>
      </w:r>
      <w:r w:rsidR="00040743">
        <w:rPr>
          <w:rFonts w:ascii="Times New Roman" w:hAnsi="Times New Roman" w:cs="Times New Roman"/>
          <w:sz w:val="24"/>
          <w:szCs w:val="24"/>
        </w:rPr>
        <w:t>ns have not precisely measured.</w:t>
      </w:r>
      <w:r w:rsidR="00DF642C">
        <w:rPr>
          <w:rStyle w:val="FootnoteReference"/>
          <w:rFonts w:ascii="Times New Roman" w:hAnsi="Times New Roman" w:cs="Times New Roman"/>
          <w:sz w:val="24"/>
          <w:szCs w:val="24"/>
        </w:rPr>
        <w:footnoteReference w:id="2"/>
      </w:r>
      <w:r w:rsidR="00040743">
        <w:rPr>
          <w:rFonts w:ascii="Times New Roman" w:hAnsi="Times New Roman" w:cs="Times New Roman"/>
          <w:sz w:val="24"/>
          <w:szCs w:val="24"/>
        </w:rPr>
        <w:t xml:space="preserve"> We use</w:t>
      </w:r>
      <w:r w:rsidRPr="0022460F">
        <w:rPr>
          <w:rFonts w:ascii="Times New Roman" w:hAnsi="Times New Roman" w:cs="Times New Roman"/>
          <w:sz w:val="24"/>
          <w:szCs w:val="24"/>
        </w:rPr>
        <w:t xml:space="preserve"> the BEA multinational </w:t>
      </w:r>
      <w:r w:rsidR="001C1DBA">
        <w:rPr>
          <w:rFonts w:ascii="Times New Roman" w:hAnsi="Times New Roman" w:cs="Times New Roman"/>
          <w:sz w:val="24"/>
          <w:szCs w:val="24"/>
        </w:rPr>
        <w:t>affiliate</w:t>
      </w:r>
      <w:r w:rsidRPr="0022460F">
        <w:rPr>
          <w:rFonts w:ascii="Times New Roman" w:hAnsi="Times New Roman" w:cs="Times New Roman"/>
          <w:sz w:val="24"/>
          <w:szCs w:val="24"/>
        </w:rPr>
        <w:t xml:space="preserve"> data to better measure the </w:t>
      </w:r>
      <w:r>
        <w:rPr>
          <w:rFonts w:ascii="Times New Roman" w:hAnsi="Times New Roman" w:cs="Times New Roman"/>
          <w:sz w:val="24"/>
          <w:szCs w:val="24"/>
        </w:rPr>
        <w:t>variation in the tax differ</w:t>
      </w:r>
      <w:r w:rsidRPr="0022460F">
        <w:rPr>
          <w:rFonts w:ascii="Times New Roman" w:hAnsi="Times New Roman" w:cs="Times New Roman"/>
          <w:sz w:val="24"/>
          <w:szCs w:val="24"/>
        </w:rPr>
        <w:t xml:space="preserve">ential between debt and equity. </w:t>
      </w:r>
      <w:r w:rsidR="0022460F" w:rsidRPr="0022460F">
        <w:rPr>
          <w:rFonts w:ascii="Times New Roman" w:hAnsi="Times New Roman" w:cs="Times New Roman"/>
          <w:sz w:val="24"/>
          <w:szCs w:val="24"/>
        </w:rPr>
        <w:t>Does this measure significantly improve our ability to explain the observed variation in leverage ratios, in particular the firm-specific, time-invariant component?</w:t>
      </w:r>
    </w:p>
    <w:p w:rsidR="00DB3AE9" w:rsidRDefault="009964D4"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We specifically employ</w:t>
      </w:r>
      <w:r w:rsidR="00CE4EC5" w:rsidRPr="0022460F">
        <w:rPr>
          <w:rFonts w:ascii="Times New Roman" w:hAnsi="Times New Roman" w:cs="Times New Roman"/>
          <w:sz w:val="24"/>
          <w:szCs w:val="24"/>
        </w:rPr>
        <w:t xml:space="preserve"> t</w:t>
      </w:r>
      <w:r w:rsidR="00A3220A">
        <w:rPr>
          <w:rFonts w:ascii="Times New Roman" w:hAnsi="Times New Roman" w:cs="Times New Roman"/>
          <w:sz w:val="24"/>
          <w:szCs w:val="24"/>
        </w:rPr>
        <w:t>wo BEA U.S. multinational company surveys:</w:t>
      </w:r>
      <w:r w:rsidR="00CE4EC5" w:rsidRPr="0022460F">
        <w:rPr>
          <w:rFonts w:ascii="Times New Roman" w:hAnsi="Times New Roman" w:cs="Times New Roman"/>
          <w:sz w:val="24"/>
          <w:szCs w:val="24"/>
        </w:rPr>
        <w:t xml:space="preserve"> </w:t>
      </w:r>
      <w:r w:rsidR="00A3220A">
        <w:rPr>
          <w:rFonts w:ascii="Times New Roman" w:hAnsi="Times New Roman" w:cs="Times New Roman"/>
          <w:sz w:val="24"/>
          <w:szCs w:val="24"/>
        </w:rPr>
        <w:t xml:space="preserve">the </w:t>
      </w:r>
      <w:r w:rsidR="00CE4EC5">
        <w:rPr>
          <w:rFonts w:ascii="Times New Roman" w:hAnsi="Times New Roman" w:cs="Times New Roman"/>
          <w:sz w:val="24"/>
          <w:szCs w:val="24"/>
        </w:rPr>
        <w:t>BE</w:t>
      </w:r>
      <w:r w:rsidR="00A3220A">
        <w:rPr>
          <w:rFonts w:ascii="Times New Roman" w:hAnsi="Times New Roman" w:cs="Times New Roman"/>
          <w:sz w:val="24"/>
          <w:szCs w:val="24"/>
        </w:rPr>
        <w:t>-</w:t>
      </w:r>
      <w:r w:rsidR="00CE4EC5">
        <w:rPr>
          <w:rFonts w:ascii="Times New Roman" w:hAnsi="Times New Roman" w:cs="Times New Roman"/>
          <w:sz w:val="24"/>
          <w:szCs w:val="24"/>
        </w:rPr>
        <w:t xml:space="preserve">10 </w:t>
      </w:r>
      <w:r w:rsidR="00A3220A">
        <w:rPr>
          <w:rFonts w:ascii="Times New Roman" w:hAnsi="Times New Roman" w:cs="Times New Roman"/>
          <w:sz w:val="24"/>
          <w:szCs w:val="24"/>
        </w:rPr>
        <w:t xml:space="preserve">benchmark survey </w:t>
      </w:r>
      <w:r w:rsidR="00CE4EC5">
        <w:rPr>
          <w:rFonts w:ascii="Times New Roman" w:hAnsi="Times New Roman" w:cs="Times New Roman"/>
          <w:sz w:val="24"/>
          <w:szCs w:val="24"/>
        </w:rPr>
        <w:t xml:space="preserve">and </w:t>
      </w:r>
      <w:r w:rsidR="00A3220A">
        <w:rPr>
          <w:rFonts w:ascii="Times New Roman" w:hAnsi="Times New Roman" w:cs="Times New Roman"/>
          <w:sz w:val="24"/>
          <w:szCs w:val="24"/>
        </w:rPr>
        <w:t xml:space="preserve">the </w:t>
      </w:r>
      <w:r w:rsidR="00CE4EC5">
        <w:rPr>
          <w:rFonts w:ascii="Times New Roman" w:hAnsi="Times New Roman" w:cs="Times New Roman"/>
          <w:sz w:val="24"/>
          <w:szCs w:val="24"/>
        </w:rPr>
        <w:t>BE</w:t>
      </w:r>
      <w:r w:rsidR="00A3220A">
        <w:rPr>
          <w:rFonts w:ascii="Times New Roman" w:hAnsi="Times New Roman" w:cs="Times New Roman"/>
          <w:sz w:val="24"/>
          <w:szCs w:val="24"/>
        </w:rPr>
        <w:t>-</w:t>
      </w:r>
      <w:r w:rsidR="00CE4EC5">
        <w:rPr>
          <w:rFonts w:ascii="Times New Roman" w:hAnsi="Times New Roman" w:cs="Times New Roman"/>
          <w:sz w:val="24"/>
          <w:szCs w:val="24"/>
        </w:rPr>
        <w:t>11</w:t>
      </w:r>
      <w:r w:rsidR="00A3220A">
        <w:rPr>
          <w:rFonts w:ascii="Times New Roman" w:hAnsi="Times New Roman" w:cs="Times New Roman"/>
          <w:sz w:val="24"/>
          <w:szCs w:val="24"/>
        </w:rPr>
        <w:t xml:space="preserve"> annual survey</w:t>
      </w:r>
      <w:r w:rsidR="00CE4EC5">
        <w:rPr>
          <w:rFonts w:ascii="Times New Roman" w:hAnsi="Times New Roman" w:cs="Times New Roman"/>
          <w:sz w:val="24"/>
          <w:szCs w:val="24"/>
        </w:rPr>
        <w:t xml:space="preserve"> </w:t>
      </w:r>
      <w:r>
        <w:rPr>
          <w:rFonts w:ascii="Times New Roman" w:hAnsi="Times New Roman" w:cs="Times New Roman"/>
          <w:sz w:val="24"/>
          <w:szCs w:val="24"/>
        </w:rPr>
        <w:t>that contain</w:t>
      </w:r>
      <w:r w:rsidR="00CE4EC5">
        <w:rPr>
          <w:rFonts w:ascii="Times New Roman" w:hAnsi="Times New Roman" w:cs="Times New Roman"/>
          <w:sz w:val="24"/>
          <w:szCs w:val="24"/>
        </w:rPr>
        <w:t xml:space="preserve"> </w:t>
      </w:r>
      <w:r w:rsidR="00CE4EC5" w:rsidRPr="0022460F">
        <w:rPr>
          <w:rFonts w:ascii="Times New Roman" w:hAnsi="Times New Roman" w:cs="Times New Roman"/>
          <w:sz w:val="24"/>
          <w:szCs w:val="24"/>
        </w:rPr>
        <w:t xml:space="preserve">the profitability of the various </w:t>
      </w:r>
      <w:r w:rsidR="00A3220A">
        <w:rPr>
          <w:rFonts w:ascii="Times New Roman" w:hAnsi="Times New Roman" w:cs="Times New Roman"/>
          <w:sz w:val="24"/>
          <w:szCs w:val="24"/>
        </w:rPr>
        <w:t>foreign affiliates</w:t>
      </w:r>
      <w:r w:rsidR="00CE4EC5" w:rsidRPr="0022460F">
        <w:rPr>
          <w:rFonts w:ascii="Times New Roman" w:hAnsi="Times New Roman" w:cs="Times New Roman"/>
          <w:sz w:val="24"/>
          <w:szCs w:val="24"/>
        </w:rPr>
        <w:t xml:space="preserve"> of multinational firms. </w:t>
      </w:r>
      <w:r w:rsidR="00832C44">
        <w:rPr>
          <w:rFonts w:ascii="Times New Roman" w:hAnsi="Times New Roman" w:cs="Times New Roman"/>
          <w:sz w:val="24"/>
          <w:szCs w:val="24"/>
        </w:rPr>
        <w:t>Because we are interested in the effects of multinational variation in taxes on leverage, our firm observations are limited to those multinationals who participate in the BEA survey</w:t>
      </w:r>
      <w:r w:rsidR="00A3220A">
        <w:rPr>
          <w:rFonts w:ascii="Times New Roman" w:hAnsi="Times New Roman" w:cs="Times New Roman"/>
          <w:sz w:val="24"/>
          <w:szCs w:val="24"/>
        </w:rPr>
        <w:t>s</w:t>
      </w:r>
      <w:r w:rsidR="00832C44">
        <w:rPr>
          <w:rFonts w:ascii="Times New Roman" w:hAnsi="Times New Roman" w:cs="Times New Roman"/>
          <w:sz w:val="24"/>
          <w:szCs w:val="24"/>
        </w:rPr>
        <w:t xml:space="preserve"> – we do not have any purely domestic firm-years in our panel.  </w:t>
      </w:r>
      <w:r w:rsidR="00CE4EC5">
        <w:rPr>
          <w:rFonts w:ascii="Times New Roman" w:hAnsi="Times New Roman" w:cs="Times New Roman"/>
          <w:sz w:val="24"/>
          <w:szCs w:val="24"/>
        </w:rPr>
        <w:t xml:space="preserve">This data is available from 1994 to 2009.  </w:t>
      </w:r>
      <w:r w:rsidR="00CE4EC5" w:rsidRPr="0022460F">
        <w:rPr>
          <w:rFonts w:ascii="Times New Roman" w:hAnsi="Times New Roman" w:cs="Times New Roman"/>
          <w:sz w:val="24"/>
          <w:szCs w:val="24"/>
        </w:rPr>
        <w:t>The</w:t>
      </w:r>
      <w:r w:rsidR="00CE4EC5">
        <w:rPr>
          <w:rFonts w:ascii="Times New Roman" w:hAnsi="Times New Roman" w:cs="Times New Roman"/>
          <w:sz w:val="24"/>
          <w:szCs w:val="24"/>
        </w:rPr>
        <w:t xml:space="preserve">se locations and amounts </w:t>
      </w:r>
      <w:r w:rsidR="00CE4EC5" w:rsidRPr="0022460F">
        <w:rPr>
          <w:rFonts w:ascii="Times New Roman" w:hAnsi="Times New Roman" w:cs="Times New Roman"/>
          <w:sz w:val="24"/>
          <w:szCs w:val="24"/>
        </w:rPr>
        <w:t xml:space="preserve">create the weights that we use in generating our weighted average tax rate variable as well as inform us of the tax rate to use for that </w:t>
      </w:r>
      <w:r w:rsidR="001C1DBA">
        <w:rPr>
          <w:rFonts w:ascii="Times New Roman" w:hAnsi="Times New Roman" w:cs="Times New Roman"/>
          <w:sz w:val="24"/>
          <w:szCs w:val="24"/>
        </w:rPr>
        <w:t>affiliate</w:t>
      </w:r>
      <w:r w:rsidR="00CE4EC5" w:rsidRPr="0022460F">
        <w:rPr>
          <w:rFonts w:ascii="Times New Roman" w:hAnsi="Times New Roman" w:cs="Times New Roman"/>
          <w:sz w:val="24"/>
          <w:szCs w:val="24"/>
        </w:rPr>
        <w:t xml:space="preserve">. </w:t>
      </w:r>
      <w:r w:rsidR="00CE4EC5">
        <w:rPr>
          <w:rFonts w:ascii="Times New Roman" w:hAnsi="Times New Roman" w:cs="Times New Roman"/>
          <w:sz w:val="24"/>
          <w:szCs w:val="24"/>
        </w:rPr>
        <w:t xml:space="preserve">Tax code information for foreign jurisdictions was provided by Comtax for </w:t>
      </w:r>
      <w:r w:rsidR="00CE4EC5">
        <w:rPr>
          <w:rFonts w:ascii="Times New Roman" w:hAnsi="Times New Roman" w:cs="Times New Roman"/>
          <w:sz w:val="24"/>
          <w:szCs w:val="24"/>
        </w:rPr>
        <w:lastRenderedPageBreak/>
        <w:t>the years 2006 to 2012</w:t>
      </w:r>
      <w:r w:rsidR="001A358A">
        <w:rPr>
          <w:rFonts w:ascii="Times New Roman" w:hAnsi="Times New Roman" w:cs="Times New Roman"/>
          <w:sz w:val="24"/>
          <w:szCs w:val="24"/>
        </w:rPr>
        <w:t xml:space="preserve">.  For the period 2003 to 2005, we utilize data from </w:t>
      </w:r>
      <w:r w:rsidR="00C42B26">
        <w:rPr>
          <w:rFonts w:ascii="Times New Roman" w:hAnsi="Times New Roman" w:cs="Times New Roman"/>
          <w:sz w:val="24"/>
          <w:szCs w:val="24"/>
        </w:rPr>
        <w:t xml:space="preserve">the </w:t>
      </w:r>
      <w:r w:rsidR="001A358A">
        <w:rPr>
          <w:rFonts w:ascii="Times New Roman" w:hAnsi="Times New Roman" w:cs="Times New Roman"/>
          <w:sz w:val="24"/>
          <w:szCs w:val="24"/>
        </w:rPr>
        <w:t>KPMG</w:t>
      </w:r>
      <w:r w:rsidR="00C42B26">
        <w:rPr>
          <w:rFonts w:ascii="Times New Roman" w:hAnsi="Times New Roman" w:cs="Times New Roman"/>
          <w:sz w:val="24"/>
          <w:szCs w:val="24"/>
        </w:rPr>
        <w:t xml:space="preserve"> Corporate and Indirect Tax Survey</w:t>
      </w:r>
      <w:r w:rsidR="001A358A">
        <w:rPr>
          <w:rFonts w:ascii="Times New Roman" w:hAnsi="Times New Roman" w:cs="Times New Roman"/>
          <w:sz w:val="24"/>
          <w:szCs w:val="24"/>
        </w:rPr>
        <w:t>.  This data does not cover many of the smaller countries that Comtax data covers so for those missing observations, we currently assume that the tax rates for that period in those countries are the same as they were in 2006.</w:t>
      </w:r>
      <w:r w:rsidR="00EF2CDB">
        <w:rPr>
          <w:rStyle w:val="FootnoteReference"/>
          <w:rFonts w:ascii="Times New Roman" w:hAnsi="Times New Roman" w:cs="Times New Roman"/>
          <w:sz w:val="24"/>
          <w:szCs w:val="24"/>
        </w:rPr>
        <w:footnoteReference w:id="3"/>
      </w:r>
      <w:r w:rsidR="00CE4EC5">
        <w:rPr>
          <w:rFonts w:ascii="Times New Roman" w:hAnsi="Times New Roman" w:cs="Times New Roman"/>
          <w:sz w:val="24"/>
          <w:szCs w:val="24"/>
        </w:rPr>
        <w:t xml:space="preserve"> </w:t>
      </w:r>
      <w:r w:rsidR="001A358A">
        <w:rPr>
          <w:rFonts w:ascii="Times New Roman" w:hAnsi="Times New Roman" w:cs="Times New Roman"/>
          <w:sz w:val="24"/>
          <w:szCs w:val="24"/>
        </w:rPr>
        <w:t>W</w:t>
      </w:r>
      <w:r w:rsidR="00CE4EC5">
        <w:rPr>
          <w:rFonts w:ascii="Times New Roman" w:hAnsi="Times New Roman" w:cs="Times New Roman"/>
          <w:sz w:val="24"/>
          <w:szCs w:val="24"/>
        </w:rPr>
        <w:t xml:space="preserve">e are currently exploring </w:t>
      </w:r>
      <w:r w:rsidR="001A358A">
        <w:rPr>
          <w:rFonts w:ascii="Times New Roman" w:hAnsi="Times New Roman" w:cs="Times New Roman"/>
          <w:sz w:val="24"/>
          <w:szCs w:val="24"/>
        </w:rPr>
        <w:t xml:space="preserve">other </w:t>
      </w:r>
      <w:r w:rsidR="00CE4EC5">
        <w:rPr>
          <w:rFonts w:ascii="Times New Roman" w:hAnsi="Times New Roman" w:cs="Times New Roman"/>
          <w:sz w:val="24"/>
          <w:szCs w:val="24"/>
        </w:rPr>
        <w:t>data sources for internat</w:t>
      </w:r>
      <w:r w:rsidR="00032343">
        <w:rPr>
          <w:rFonts w:ascii="Times New Roman" w:hAnsi="Times New Roman" w:cs="Times New Roman"/>
          <w:sz w:val="24"/>
          <w:szCs w:val="24"/>
        </w:rPr>
        <w:t>ional tax data earlier than 2003</w:t>
      </w:r>
      <w:r w:rsidR="00CE4EC5">
        <w:rPr>
          <w:rFonts w:ascii="Times New Roman" w:hAnsi="Times New Roman" w:cs="Times New Roman"/>
          <w:sz w:val="24"/>
          <w:szCs w:val="24"/>
        </w:rPr>
        <w:t xml:space="preserve"> so that we can </w:t>
      </w:r>
      <w:r w:rsidR="00032343">
        <w:rPr>
          <w:rFonts w:ascii="Times New Roman" w:hAnsi="Times New Roman" w:cs="Times New Roman"/>
          <w:sz w:val="24"/>
          <w:szCs w:val="24"/>
        </w:rPr>
        <w:t xml:space="preserve">further </w:t>
      </w:r>
      <w:r w:rsidR="00CE4EC5">
        <w:rPr>
          <w:rFonts w:ascii="Times New Roman" w:hAnsi="Times New Roman" w:cs="Times New Roman"/>
          <w:sz w:val="24"/>
          <w:szCs w:val="24"/>
        </w:rPr>
        <w:t xml:space="preserve">expand the time series component of our panel.  </w:t>
      </w:r>
      <w:r w:rsidR="00032343">
        <w:rPr>
          <w:rFonts w:ascii="Times New Roman" w:hAnsi="Times New Roman" w:cs="Times New Roman"/>
          <w:sz w:val="24"/>
          <w:szCs w:val="24"/>
        </w:rPr>
        <w:t>Alternatively, w</w:t>
      </w:r>
      <w:r w:rsidR="00CE4EC5" w:rsidRPr="0022460F">
        <w:rPr>
          <w:rFonts w:ascii="Times New Roman" w:hAnsi="Times New Roman" w:cs="Times New Roman"/>
          <w:sz w:val="24"/>
          <w:szCs w:val="24"/>
        </w:rPr>
        <w:t>e could</w:t>
      </w:r>
      <w:r w:rsidR="00CE4EC5">
        <w:rPr>
          <w:rFonts w:ascii="Times New Roman" w:hAnsi="Times New Roman" w:cs="Times New Roman"/>
          <w:sz w:val="24"/>
          <w:szCs w:val="24"/>
        </w:rPr>
        <w:t xml:space="preserve"> </w:t>
      </w:r>
      <w:r w:rsidR="00CE4EC5" w:rsidRPr="0022460F">
        <w:rPr>
          <w:rFonts w:ascii="Times New Roman" w:hAnsi="Times New Roman" w:cs="Times New Roman"/>
          <w:sz w:val="24"/>
          <w:szCs w:val="24"/>
        </w:rPr>
        <w:t>estimate the implied tax rate using the ratio of taxes paid divided by pre-tax income. The downside of such an approach is that many tax systems are progressive so the average rate (which is derived from this quotient) will tend to under-estimate the marginal rate, i.e. the rate on which financial decisions are theoretically made.</w:t>
      </w:r>
      <w:r w:rsidR="00DB3AE9">
        <w:rPr>
          <w:rFonts w:ascii="Times New Roman" w:hAnsi="Times New Roman" w:cs="Times New Roman"/>
          <w:sz w:val="24"/>
          <w:szCs w:val="24"/>
        </w:rPr>
        <w:t xml:space="preserve">  </w:t>
      </w:r>
    </w:p>
    <w:p w:rsidR="00CE4EC5" w:rsidRPr="0022460F" w:rsidRDefault="00DB3AE9"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Recognize that we do assume that firms pay the tax rate associated with that foreign tax jurisdiction.  According to the Senate committee report, Apple structured their Ireland operations in a way that avoided both US and Irish taxes. </w:t>
      </w:r>
      <w:r w:rsidR="00DF7359">
        <w:rPr>
          <w:rFonts w:ascii="Times New Roman" w:hAnsi="Times New Roman" w:cs="Times New Roman"/>
          <w:sz w:val="24"/>
          <w:szCs w:val="24"/>
        </w:rPr>
        <w:t>For all firm-years in our sample, w</w:t>
      </w:r>
      <w:r>
        <w:rPr>
          <w:rFonts w:ascii="Times New Roman" w:hAnsi="Times New Roman" w:cs="Times New Roman"/>
          <w:sz w:val="24"/>
          <w:szCs w:val="24"/>
        </w:rPr>
        <w:t>e assume that the Irish operations</w:t>
      </w:r>
      <w:r w:rsidR="00DF7359">
        <w:rPr>
          <w:rFonts w:ascii="Times New Roman" w:hAnsi="Times New Roman" w:cs="Times New Roman"/>
          <w:sz w:val="24"/>
          <w:szCs w:val="24"/>
        </w:rPr>
        <w:t xml:space="preserve"> of a firm</w:t>
      </w:r>
      <w:r>
        <w:rPr>
          <w:rFonts w:ascii="Times New Roman" w:hAnsi="Times New Roman" w:cs="Times New Roman"/>
          <w:sz w:val="24"/>
          <w:szCs w:val="24"/>
        </w:rPr>
        <w:t xml:space="preserve"> were subject to the 12.5% tax rate applicable in Ireland</w:t>
      </w:r>
      <w:r w:rsidR="00DF7359">
        <w:rPr>
          <w:rFonts w:ascii="Times New Roman" w:hAnsi="Times New Roman" w:cs="Times New Roman"/>
          <w:sz w:val="24"/>
          <w:szCs w:val="24"/>
        </w:rPr>
        <w:t>, and the same for all other countries in the sample</w:t>
      </w:r>
      <w:r>
        <w:rPr>
          <w:rFonts w:ascii="Times New Roman" w:hAnsi="Times New Roman" w:cs="Times New Roman"/>
          <w:sz w:val="24"/>
          <w:szCs w:val="24"/>
        </w:rPr>
        <w:t xml:space="preserve">.  Should </w:t>
      </w:r>
      <w:r w:rsidR="00DF7359">
        <w:rPr>
          <w:rFonts w:ascii="Times New Roman" w:hAnsi="Times New Roman" w:cs="Times New Roman"/>
          <w:sz w:val="24"/>
          <w:szCs w:val="24"/>
        </w:rPr>
        <w:t>tax structures such as that identified in the Senate report for Apple</w:t>
      </w:r>
      <w:r>
        <w:rPr>
          <w:rFonts w:ascii="Times New Roman" w:hAnsi="Times New Roman" w:cs="Times New Roman"/>
          <w:sz w:val="24"/>
          <w:szCs w:val="24"/>
        </w:rPr>
        <w:t xml:space="preserve"> be significant over our sample period, our weighted average rate rates will over-estimate true tax rates firms are facing and cause us to under-estimate the true economic effects arising from cross-sectional variation in tax exposures.</w:t>
      </w:r>
    </w:p>
    <w:p w:rsidR="0022460F" w:rsidRDefault="000D67AD"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measure that we</w:t>
      </w:r>
      <w:r w:rsidR="0022460F" w:rsidRPr="0022460F">
        <w:rPr>
          <w:rFonts w:ascii="Times New Roman" w:hAnsi="Times New Roman" w:cs="Times New Roman"/>
          <w:sz w:val="24"/>
          <w:szCs w:val="24"/>
        </w:rPr>
        <w:t xml:space="preserve"> </w:t>
      </w:r>
      <w:r w:rsidR="003A00BD">
        <w:rPr>
          <w:rFonts w:ascii="Times New Roman" w:hAnsi="Times New Roman" w:cs="Times New Roman"/>
          <w:sz w:val="24"/>
          <w:szCs w:val="24"/>
        </w:rPr>
        <w:t xml:space="preserve">have </w:t>
      </w:r>
      <w:r w:rsidR="0022460F" w:rsidRPr="0022460F">
        <w:rPr>
          <w:rFonts w:ascii="Times New Roman" w:hAnsi="Times New Roman" w:cs="Times New Roman"/>
          <w:sz w:val="24"/>
          <w:szCs w:val="24"/>
        </w:rPr>
        <w:t>construct</w:t>
      </w:r>
      <w:r>
        <w:rPr>
          <w:rFonts w:ascii="Times New Roman" w:hAnsi="Times New Roman" w:cs="Times New Roman"/>
          <w:sz w:val="24"/>
          <w:szCs w:val="24"/>
        </w:rPr>
        <w:t>ed is</w:t>
      </w:r>
      <w:r w:rsidR="0022460F" w:rsidRPr="0022460F">
        <w:rPr>
          <w:rFonts w:ascii="Times New Roman" w:hAnsi="Times New Roman" w:cs="Times New Roman"/>
          <w:sz w:val="24"/>
          <w:szCs w:val="24"/>
        </w:rPr>
        <w:t xml:space="preserve"> a weighted average tax rate generated using the percentage of EBIT (earnings before interest and</w:t>
      </w:r>
      <w:r w:rsidR="0022460F">
        <w:rPr>
          <w:rFonts w:ascii="Times New Roman" w:hAnsi="Times New Roman" w:cs="Times New Roman"/>
          <w:sz w:val="24"/>
          <w:szCs w:val="24"/>
        </w:rPr>
        <w:t xml:space="preserve"> </w:t>
      </w:r>
      <w:r w:rsidR="0022460F" w:rsidRPr="0022460F">
        <w:rPr>
          <w:rFonts w:ascii="Times New Roman" w:hAnsi="Times New Roman" w:cs="Times New Roman"/>
          <w:sz w:val="24"/>
          <w:szCs w:val="24"/>
        </w:rPr>
        <w:t xml:space="preserve">taxes) generated in each </w:t>
      </w:r>
      <w:r w:rsidR="001C1DBA">
        <w:rPr>
          <w:rFonts w:ascii="Times New Roman" w:hAnsi="Times New Roman" w:cs="Times New Roman"/>
          <w:sz w:val="24"/>
          <w:szCs w:val="24"/>
        </w:rPr>
        <w:t>affiliate</w:t>
      </w:r>
      <w:r w:rsidR="0022460F" w:rsidRPr="0022460F">
        <w:rPr>
          <w:rFonts w:ascii="Times New Roman" w:hAnsi="Times New Roman" w:cs="Times New Roman"/>
          <w:sz w:val="24"/>
          <w:szCs w:val="24"/>
        </w:rPr>
        <w:t xml:space="preserve"> </w:t>
      </w:r>
      <w:r w:rsidR="00207967">
        <w:rPr>
          <w:rFonts w:ascii="Times New Roman" w:hAnsi="Times New Roman" w:cs="Times New Roman"/>
          <w:sz w:val="24"/>
          <w:szCs w:val="24"/>
        </w:rPr>
        <w:t xml:space="preserve">in that fiscal year </w:t>
      </w:r>
      <w:r w:rsidR="0022460F" w:rsidRPr="0022460F">
        <w:rPr>
          <w:rFonts w:ascii="Times New Roman" w:hAnsi="Times New Roman" w:cs="Times New Roman"/>
          <w:sz w:val="24"/>
          <w:szCs w:val="24"/>
        </w:rPr>
        <w:t xml:space="preserve">with the tax rate in the tax jurisdiction of that </w:t>
      </w:r>
      <w:r w:rsidR="001C1DBA">
        <w:rPr>
          <w:rFonts w:ascii="Times New Roman" w:hAnsi="Times New Roman" w:cs="Times New Roman"/>
          <w:sz w:val="24"/>
          <w:szCs w:val="24"/>
        </w:rPr>
        <w:t>affiliate</w:t>
      </w:r>
      <w:r w:rsidR="0022460F" w:rsidRPr="0022460F">
        <w:rPr>
          <w:rFonts w:ascii="Times New Roman" w:hAnsi="Times New Roman" w:cs="Times New Roman"/>
          <w:sz w:val="24"/>
          <w:szCs w:val="24"/>
        </w:rPr>
        <w:t xml:space="preserve">. So if 50% of the total operating income </w:t>
      </w:r>
      <w:r w:rsidR="00207967">
        <w:rPr>
          <w:rFonts w:ascii="Times New Roman" w:hAnsi="Times New Roman" w:cs="Times New Roman"/>
          <w:sz w:val="24"/>
          <w:szCs w:val="24"/>
        </w:rPr>
        <w:t xml:space="preserve">in 2006 </w:t>
      </w:r>
      <w:r w:rsidR="0022460F" w:rsidRPr="0022460F">
        <w:rPr>
          <w:rFonts w:ascii="Times New Roman" w:hAnsi="Times New Roman" w:cs="Times New Roman"/>
          <w:sz w:val="24"/>
          <w:szCs w:val="24"/>
        </w:rPr>
        <w:t xml:space="preserve">were generated in the United States, 30% in foreign </w:t>
      </w:r>
      <w:r w:rsidR="001C1DBA">
        <w:rPr>
          <w:rFonts w:ascii="Times New Roman" w:hAnsi="Times New Roman" w:cs="Times New Roman"/>
          <w:sz w:val="24"/>
          <w:szCs w:val="24"/>
        </w:rPr>
        <w:t>affiliate</w:t>
      </w:r>
      <w:r w:rsidR="0022460F" w:rsidRPr="0022460F">
        <w:rPr>
          <w:rFonts w:ascii="Times New Roman" w:hAnsi="Times New Roman" w:cs="Times New Roman"/>
          <w:sz w:val="24"/>
          <w:szCs w:val="24"/>
        </w:rPr>
        <w:t xml:space="preserve"> A which is located </w:t>
      </w:r>
      <w:r w:rsidR="0022460F" w:rsidRPr="0022460F">
        <w:rPr>
          <w:rFonts w:ascii="Times New Roman" w:hAnsi="Times New Roman" w:cs="Times New Roman"/>
          <w:sz w:val="24"/>
          <w:szCs w:val="24"/>
        </w:rPr>
        <w:lastRenderedPageBreak/>
        <w:t xml:space="preserve">in Ireland, and the remaining 20% in </w:t>
      </w:r>
      <w:r w:rsidR="001C1DBA">
        <w:rPr>
          <w:rFonts w:ascii="Times New Roman" w:hAnsi="Times New Roman" w:cs="Times New Roman"/>
          <w:sz w:val="24"/>
          <w:szCs w:val="24"/>
        </w:rPr>
        <w:t>affiliate</w:t>
      </w:r>
      <w:r w:rsidR="0022460F" w:rsidRPr="0022460F">
        <w:rPr>
          <w:rFonts w:ascii="Times New Roman" w:hAnsi="Times New Roman" w:cs="Times New Roman"/>
          <w:sz w:val="24"/>
          <w:szCs w:val="24"/>
        </w:rPr>
        <w:t xml:space="preserve"> B which is located in Germany, we would form the true tax rate confronting the firm </w:t>
      </w:r>
      <w:r w:rsidR="00207967">
        <w:rPr>
          <w:rFonts w:ascii="Times New Roman" w:hAnsi="Times New Roman" w:cs="Times New Roman"/>
          <w:sz w:val="24"/>
          <w:szCs w:val="24"/>
        </w:rPr>
        <w:t xml:space="preserve">in 2006 </w:t>
      </w:r>
      <w:r w:rsidR="0022460F" w:rsidRPr="0022460F">
        <w:rPr>
          <w:rFonts w:ascii="Times New Roman" w:hAnsi="Times New Roman" w:cs="Times New Roman"/>
          <w:sz w:val="24"/>
          <w:szCs w:val="24"/>
        </w:rPr>
        <w:t>by taking the weighted average:</w:t>
      </w:r>
    </w:p>
    <w:p w:rsidR="0022460F" w:rsidRPr="0022460F" w:rsidRDefault="00925DDA" w:rsidP="0022460F">
      <w:pPr>
        <w:spacing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Firm, 2006</m:t>
              </m:r>
            </m:sub>
          </m:sSub>
          <m:r>
            <w:rPr>
              <w:rFonts w:ascii="Cambria Math" w:hAnsi="Cambria Math" w:cs="Times New Roman"/>
              <w:sz w:val="24"/>
              <w:szCs w:val="24"/>
            </w:rPr>
            <m:t>=50%</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US</m:t>
              </m:r>
            </m:sub>
          </m:sSub>
          <m:r>
            <w:rPr>
              <w:rFonts w:ascii="Cambria Math" w:hAnsi="Cambria Math" w:cs="Times New Roman"/>
              <w:sz w:val="24"/>
              <w:szCs w:val="24"/>
            </w:rPr>
            <m:t>+30%</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Ireland</m:t>
              </m:r>
            </m:sub>
          </m:sSub>
          <m:r>
            <w:rPr>
              <w:rFonts w:ascii="Cambria Math" w:hAnsi="Cambria Math" w:cs="Times New Roman"/>
              <w:sz w:val="24"/>
              <w:szCs w:val="24"/>
            </w:rPr>
            <m:t>+20%</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Germany</m:t>
              </m:r>
            </m:sub>
          </m:sSub>
        </m:oMath>
      </m:oMathPara>
    </w:p>
    <w:p w:rsidR="00207967" w:rsidRDefault="0022460F" w:rsidP="007A418F">
      <w:pPr>
        <w:spacing w:line="480" w:lineRule="auto"/>
        <w:ind w:firstLine="720"/>
        <w:jc w:val="both"/>
        <w:rPr>
          <w:rFonts w:ascii="Times New Roman" w:hAnsi="Times New Roman" w:cs="Times New Roman"/>
          <w:sz w:val="24"/>
          <w:szCs w:val="24"/>
        </w:rPr>
      </w:pPr>
      <w:r w:rsidRPr="0022460F">
        <w:rPr>
          <w:rFonts w:ascii="Times New Roman" w:hAnsi="Times New Roman" w:cs="Times New Roman"/>
          <w:sz w:val="24"/>
          <w:szCs w:val="24"/>
        </w:rPr>
        <w:t>The question naturally emerges as to the appropriate tax rate to use in each of these countries. Significant work has been done for the United States on this question and many of these examiners have made their estimates available to researchers. For instance, the estimates of Graham (1996</w:t>
      </w:r>
      <w:r w:rsidR="00EF2D0E">
        <w:rPr>
          <w:rFonts w:ascii="Times New Roman" w:hAnsi="Times New Roman" w:cs="Times New Roman"/>
          <w:sz w:val="24"/>
          <w:szCs w:val="24"/>
        </w:rPr>
        <w:t>a</w:t>
      </w:r>
      <w:r w:rsidRPr="0022460F">
        <w:rPr>
          <w:rFonts w:ascii="Times New Roman" w:hAnsi="Times New Roman" w:cs="Times New Roman"/>
          <w:sz w:val="24"/>
          <w:szCs w:val="24"/>
        </w:rPr>
        <w:t xml:space="preserve">) are available from John Graham’s web page. The estimates of Blouin, Core, and Guay (2010) are available on WRDS. </w:t>
      </w:r>
      <w:r w:rsidR="003A00BD">
        <w:rPr>
          <w:rFonts w:ascii="Times New Roman" w:hAnsi="Times New Roman" w:cs="Times New Roman"/>
          <w:sz w:val="24"/>
          <w:szCs w:val="24"/>
        </w:rPr>
        <w:t xml:space="preserve">However, in both cases, these estimates assume that all of the earnings were contemporaneously taxable in the United States and therefore most likely overestimate the true tax rate confronting the US operations.  </w:t>
      </w:r>
      <w:r w:rsidR="00EF2CDB">
        <w:rPr>
          <w:rFonts w:ascii="Times New Roman" w:hAnsi="Times New Roman" w:cs="Times New Roman"/>
          <w:sz w:val="24"/>
          <w:szCs w:val="24"/>
        </w:rPr>
        <w:t>W</w:t>
      </w:r>
      <w:r w:rsidR="003A00BD">
        <w:rPr>
          <w:rFonts w:ascii="Times New Roman" w:hAnsi="Times New Roman" w:cs="Times New Roman"/>
          <w:sz w:val="24"/>
          <w:szCs w:val="24"/>
        </w:rPr>
        <w:t xml:space="preserve">e </w:t>
      </w:r>
      <w:r w:rsidR="00DF7359">
        <w:rPr>
          <w:rFonts w:ascii="Times New Roman" w:hAnsi="Times New Roman" w:cs="Times New Roman"/>
          <w:sz w:val="24"/>
          <w:szCs w:val="24"/>
        </w:rPr>
        <w:t xml:space="preserve">instead </w:t>
      </w:r>
      <w:r w:rsidR="003A00BD">
        <w:rPr>
          <w:rFonts w:ascii="Times New Roman" w:hAnsi="Times New Roman" w:cs="Times New Roman"/>
          <w:sz w:val="24"/>
          <w:szCs w:val="24"/>
        </w:rPr>
        <w:t>employ the progressive marginal</w:t>
      </w:r>
      <w:r w:rsidR="00DF7359">
        <w:rPr>
          <w:rFonts w:ascii="Times New Roman" w:hAnsi="Times New Roman" w:cs="Times New Roman"/>
          <w:sz w:val="24"/>
          <w:szCs w:val="24"/>
        </w:rPr>
        <w:t xml:space="preserve"> rate for just the US operations</w:t>
      </w:r>
      <w:r w:rsidR="003A00BD">
        <w:rPr>
          <w:rFonts w:ascii="Times New Roman" w:hAnsi="Times New Roman" w:cs="Times New Roman"/>
          <w:sz w:val="24"/>
          <w:szCs w:val="24"/>
        </w:rPr>
        <w:t xml:space="preserve">.  </w:t>
      </w:r>
      <w:r w:rsidRPr="0022460F">
        <w:rPr>
          <w:rFonts w:ascii="Times New Roman" w:hAnsi="Times New Roman" w:cs="Times New Roman"/>
          <w:sz w:val="24"/>
          <w:szCs w:val="24"/>
        </w:rPr>
        <w:t>For the f</w:t>
      </w:r>
      <w:r w:rsidR="000D67AD">
        <w:rPr>
          <w:rFonts w:ascii="Times New Roman" w:hAnsi="Times New Roman" w:cs="Times New Roman"/>
          <w:sz w:val="24"/>
          <w:szCs w:val="24"/>
        </w:rPr>
        <w:t xml:space="preserve">oreign </w:t>
      </w:r>
      <w:r w:rsidR="001C1DBA">
        <w:rPr>
          <w:rFonts w:ascii="Times New Roman" w:hAnsi="Times New Roman" w:cs="Times New Roman"/>
          <w:sz w:val="24"/>
          <w:szCs w:val="24"/>
        </w:rPr>
        <w:t>affiliate</w:t>
      </w:r>
      <w:r w:rsidR="000D67AD">
        <w:rPr>
          <w:rFonts w:ascii="Times New Roman" w:hAnsi="Times New Roman" w:cs="Times New Roman"/>
          <w:sz w:val="24"/>
          <w:szCs w:val="24"/>
        </w:rPr>
        <w:t>s, we use</w:t>
      </w:r>
      <w:r w:rsidRPr="0022460F">
        <w:rPr>
          <w:rFonts w:ascii="Times New Roman" w:hAnsi="Times New Roman" w:cs="Times New Roman"/>
          <w:sz w:val="24"/>
          <w:szCs w:val="24"/>
        </w:rPr>
        <w:t xml:space="preserve"> </w:t>
      </w:r>
      <w:r w:rsidR="000D67AD">
        <w:rPr>
          <w:rFonts w:ascii="Times New Roman" w:hAnsi="Times New Roman" w:cs="Times New Roman"/>
          <w:sz w:val="24"/>
          <w:szCs w:val="24"/>
        </w:rPr>
        <w:t xml:space="preserve">progressive tax schedules </w:t>
      </w:r>
      <w:r w:rsidR="00207967">
        <w:rPr>
          <w:rFonts w:ascii="Times New Roman" w:hAnsi="Times New Roman" w:cs="Times New Roman"/>
          <w:sz w:val="24"/>
          <w:szCs w:val="24"/>
        </w:rPr>
        <w:t xml:space="preserve">(in cases where they exist) or </w:t>
      </w:r>
      <w:r w:rsidRPr="0022460F">
        <w:rPr>
          <w:rFonts w:ascii="Times New Roman" w:hAnsi="Times New Roman" w:cs="Times New Roman"/>
          <w:sz w:val="24"/>
          <w:szCs w:val="24"/>
        </w:rPr>
        <w:t xml:space="preserve">statutory rates </w:t>
      </w:r>
      <w:r w:rsidR="00207967">
        <w:rPr>
          <w:rFonts w:ascii="Times New Roman" w:hAnsi="Times New Roman" w:cs="Times New Roman"/>
          <w:sz w:val="24"/>
          <w:szCs w:val="24"/>
        </w:rPr>
        <w:t xml:space="preserve">(for flat corporate tax rate countries) and </w:t>
      </w:r>
      <w:r w:rsidR="000D67AD">
        <w:rPr>
          <w:rFonts w:ascii="Times New Roman" w:hAnsi="Times New Roman" w:cs="Times New Roman"/>
          <w:sz w:val="24"/>
          <w:szCs w:val="24"/>
        </w:rPr>
        <w:t xml:space="preserve">merge </w:t>
      </w:r>
      <w:r w:rsidR="00207967">
        <w:rPr>
          <w:rFonts w:ascii="Times New Roman" w:hAnsi="Times New Roman" w:cs="Times New Roman"/>
          <w:sz w:val="24"/>
          <w:szCs w:val="24"/>
        </w:rPr>
        <w:t>them with firm-</w:t>
      </w:r>
      <w:r w:rsidR="000D67AD">
        <w:rPr>
          <w:rFonts w:ascii="Times New Roman" w:hAnsi="Times New Roman" w:cs="Times New Roman"/>
          <w:sz w:val="24"/>
          <w:szCs w:val="24"/>
        </w:rPr>
        <w:t>country-year level data</w:t>
      </w:r>
      <w:r w:rsidRPr="0022460F">
        <w:rPr>
          <w:rFonts w:ascii="Times New Roman" w:hAnsi="Times New Roman" w:cs="Times New Roman"/>
          <w:sz w:val="24"/>
          <w:szCs w:val="24"/>
        </w:rPr>
        <w:t xml:space="preserve"> with the BEA survey data to estimate these weighted averages.</w:t>
      </w:r>
      <w:r w:rsidR="00207967">
        <w:rPr>
          <w:rFonts w:ascii="Times New Roman" w:hAnsi="Times New Roman" w:cs="Times New Roman"/>
          <w:sz w:val="24"/>
          <w:szCs w:val="24"/>
        </w:rPr>
        <w:t xml:space="preserve">  </w:t>
      </w:r>
    </w:p>
    <w:p w:rsidR="0022460F" w:rsidRPr="0022460F" w:rsidRDefault="00207967"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calculate firm-country-year taxable income by combining all </w:t>
      </w:r>
      <w:r w:rsidR="001C1DBA">
        <w:rPr>
          <w:rFonts w:ascii="Times New Roman" w:hAnsi="Times New Roman" w:cs="Times New Roman"/>
          <w:sz w:val="24"/>
          <w:szCs w:val="24"/>
        </w:rPr>
        <w:t>affiliate</w:t>
      </w:r>
      <w:r>
        <w:rPr>
          <w:rFonts w:ascii="Times New Roman" w:hAnsi="Times New Roman" w:cs="Times New Roman"/>
          <w:sz w:val="24"/>
          <w:szCs w:val="24"/>
        </w:rPr>
        <w:t xml:space="preserve">s located in a particular tax jurisdiction and then using the net income within that firm-country-year adding back foreign taxes and “other expenses” (which the BEA survey classifies as minority interest).  In cases where the earnings of the foreign </w:t>
      </w:r>
      <w:r w:rsidR="001C1DBA">
        <w:rPr>
          <w:rFonts w:ascii="Times New Roman" w:hAnsi="Times New Roman" w:cs="Times New Roman"/>
          <w:sz w:val="24"/>
          <w:szCs w:val="24"/>
        </w:rPr>
        <w:t>affiliates</w:t>
      </w:r>
      <w:r>
        <w:rPr>
          <w:rFonts w:ascii="Times New Roman" w:hAnsi="Times New Roman" w:cs="Times New Roman"/>
          <w:sz w:val="24"/>
          <w:szCs w:val="24"/>
        </w:rPr>
        <w:t xml:space="preserve"> are negative, we assign zero weight to that </w:t>
      </w:r>
      <w:r w:rsidR="001C1DBA">
        <w:rPr>
          <w:rFonts w:ascii="Times New Roman" w:hAnsi="Times New Roman" w:cs="Times New Roman"/>
          <w:sz w:val="24"/>
          <w:szCs w:val="24"/>
        </w:rPr>
        <w:t>affiliate</w:t>
      </w:r>
      <w:r>
        <w:rPr>
          <w:rFonts w:ascii="Times New Roman" w:hAnsi="Times New Roman" w:cs="Times New Roman"/>
          <w:sz w:val="24"/>
          <w:szCs w:val="24"/>
        </w:rPr>
        <w:t xml:space="preserve"> for that firm-year (i.e. we do not allow negative weights).  Because the survey only contains foreign operations and consolidated firm data, we assume that US</w:t>
      </w:r>
      <w:r w:rsidR="001C1DBA">
        <w:rPr>
          <w:rFonts w:ascii="Times New Roman" w:hAnsi="Times New Roman" w:cs="Times New Roman"/>
          <w:sz w:val="24"/>
          <w:szCs w:val="24"/>
        </w:rPr>
        <w:t>-generated</w:t>
      </w:r>
      <w:r>
        <w:rPr>
          <w:rFonts w:ascii="Times New Roman" w:hAnsi="Times New Roman" w:cs="Times New Roman"/>
          <w:sz w:val="24"/>
          <w:szCs w:val="24"/>
        </w:rPr>
        <w:t xml:space="preserve"> income is equal to the firm’s total net income plus US taxes plus foreign taxes plus interest paid less the total pre-tax earnings of all of the foreign operations.  </w:t>
      </w:r>
      <w:r w:rsidR="00116484">
        <w:rPr>
          <w:rFonts w:ascii="Times New Roman" w:hAnsi="Times New Roman" w:cs="Times New Roman"/>
          <w:sz w:val="24"/>
          <w:szCs w:val="24"/>
        </w:rPr>
        <w:t xml:space="preserve">Recall that capital structure decisions are </w:t>
      </w:r>
      <w:r w:rsidR="00116484">
        <w:rPr>
          <w:rFonts w:ascii="Times New Roman" w:hAnsi="Times New Roman" w:cs="Times New Roman"/>
          <w:sz w:val="24"/>
          <w:szCs w:val="24"/>
        </w:rPr>
        <w:lastRenderedPageBreak/>
        <w:t xml:space="preserve">theoretically based on pre-income tax and pre-interest expense income which is why both of these items are added back to net income in order to arrive at our estimate of US operating income.  </w:t>
      </w:r>
      <w:r>
        <w:rPr>
          <w:rFonts w:ascii="Times New Roman" w:hAnsi="Times New Roman" w:cs="Times New Roman"/>
          <w:sz w:val="24"/>
          <w:szCs w:val="24"/>
        </w:rPr>
        <w:t xml:space="preserve">If our estimate of US operations </w:t>
      </w:r>
      <w:r w:rsidR="00116484">
        <w:rPr>
          <w:rFonts w:ascii="Times New Roman" w:hAnsi="Times New Roman" w:cs="Times New Roman"/>
          <w:sz w:val="24"/>
          <w:szCs w:val="24"/>
        </w:rPr>
        <w:t>is</w:t>
      </w:r>
      <w:r>
        <w:rPr>
          <w:rFonts w:ascii="Times New Roman" w:hAnsi="Times New Roman" w:cs="Times New Roman"/>
          <w:sz w:val="24"/>
          <w:szCs w:val="24"/>
        </w:rPr>
        <w:t xml:space="preserve"> negative, we again assign zero weight to the US tax rate in estimating our weighted average.  </w:t>
      </w:r>
    </w:p>
    <w:p w:rsidR="009964D4" w:rsidRDefault="00116484"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375A0D">
        <w:rPr>
          <w:rFonts w:ascii="Times New Roman" w:hAnsi="Times New Roman" w:cs="Times New Roman"/>
          <w:sz w:val="24"/>
          <w:szCs w:val="24"/>
        </w:rPr>
        <w:t>e</w:t>
      </w:r>
      <w:r w:rsidR="000008EC" w:rsidRPr="0022460F">
        <w:rPr>
          <w:rFonts w:ascii="Times New Roman" w:hAnsi="Times New Roman" w:cs="Times New Roman"/>
          <w:sz w:val="24"/>
          <w:szCs w:val="24"/>
        </w:rPr>
        <w:t xml:space="preserve"> </w:t>
      </w:r>
      <w:r>
        <w:rPr>
          <w:rFonts w:ascii="Times New Roman" w:hAnsi="Times New Roman" w:cs="Times New Roman"/>
          <w:sz w:val="24"/>
          <w:szCs w:val="24"/>
        </w:rPr>
        <w:t>add thes</w:t>
      </w:r>
      <w:r w:rsidR="000008EC">
        <w:rPr>
          <w:rFonts w:ascii="Times New Roman" w:hAnsi="Times New Roman" w:cs="Times New Roman"/>
          <w:sz w:val="24"/>
          <w:szCs w:val="24"/>
        </w:rPr>
        <w:t xml:space="preserve">e </w:t>
      </w:r>
      <w:r w:rsidR="00207967">
        <w:rPr>
          <w:rFonts w:ascii="Times New Roman" w:hAnsi="Times New Roman" w:cs="Times New Roman"/>
          <w:sz w:val="24"/>
          <w:szCs w:val="24"/>
        </w:rPr>
        <w:t xml:space="preserve">estimated </w:t>
      </w:r>
      <w:r>
        <w:rPr>
          <w:rFonts w:ascii="Times New Roman" w:hAnsi="Times New Roman" w:cs="Times New Roman"/>
          <w:sz w:val="24"/>
          <w:szCs w:val="24"/>
        </w:rPr>
        <w:t xml:space="preserve">tax rates </w:t>
      </w:r>
      <w:r w:rsidR="000008EC">
        <w:rPr>
          <w:rFonts w:ascii="Times New Roman" w:hAnsi="Times New Roman" w:cs="Times New Roman"/>
          <w:sz w:val="24"/>
          <w:szCs w:val="24"/>
        </w:rPr>
        <w:t>to an otherwise stan</w:t>
      </w:r>
      <w:r w:rsidR="000008EC" w:rsidRPr="0022460F">
        <w:rPr>
          <w:rFonts w:ascii="Times New Roman" w:hAnsi="Times New Roman" w:cs="Times New Roman"/>
          <w:sz w:val="24"/>
          <w:szCs w:val="24"/>
        </w:rPr>
        <w:t>dard regression specification for leverage that incorporates variables that have been widely used in the literature (see for instance Frank and Goyal (2009), Faulkender and Petersen (2006), and Lemmon, Roberts, and Zender</w:t>
      </w:r>
      <w:r w:rsidR="000008EC">
        <w:rPr>
          <w:rFonts w:ascii="Times New Roman" w:hAnsi="Times New Roman" w:cs="Times New Roman"/>
          <w:sz w:val="24"/>
          <w:szCs w:val="24"/>
        </w:rPr>
        <w:t xml:space="preserve"> </w:t>
      </w:r>
      <w:r w:rsidR="000008EC" w:rsidRPr="0022460F">
        <w:rPr>
          <w:rFonts w:ascii="Times New Roman" w:hAnsi="Times New Roman" w:cs="Times New Roman"/>
          <w:sz w:val="24"/>
          <w:szCs w:val="24"/>
        </w:rPr>
        <w:t xml:space="preserve">(2008)). </w:t>
      </w:r>
      <w:r w:rsidR="009964D4" w:rsidRPr="0022460F">
        <w:rPr>
          <w:rFonts w:ascii="Times New Roman" w:hAnsi="Times New Roman" w:cs="Times New Roman"/>
          <w:sz w:val="24"/>
          <w:szCs w:val="24"/>
        </w:rPr>
        <w:t xml:space="preserve">For </w:t>
      </w:r>
      <w:r w:rsidR="009964D4">
        <w:rPr>
          <w:rFonts w:ascii="Times New Roman" w:hAnsi="Times New Roman" w:cs="Times New Roman"/>
          <w:sz w:val="24"/>
          <w:szCs w:val="24"/>
        </w:rPr>
        <w:t xml:space="preserve">our dependent variables of interest and the rest of our </w:t>
      </w:r>
      <w:r w:rsidR="009964D4" w:rsidRPr="0022460F">
        <w:rPr>
          <w:rFonts w:ascii="Times New Roman" w:hAnsi="Times New Roman" w:cs="Times New Roman"/>
          <w:sz w:val="24"/>
          <w:szCs w:val="24"/>
        </w:rPr>
        <w:t>control varia</w:t>
      </w:r>
      <w:r w:rsidR="009964D4">
        <w:rPr>
          <w:rFonts w:ascii="Times New Roman" w:hAnsi="Times New Roman" w:cs="Times New Roman"/>
          <w:sz w:val="24"/>
          <w:szCs w:val="24"/>
        </w:rPr>
        <w:t xml:space="preserve">bles, we </w:t>
      </w:r>
      <w:r w:rsidR="009964D4" w:rsidRPr="0022460F">
        <w:rPr>
          <w:rFonts w:ascii="Times New Roman" w:hAnsi="Times New Roman" w:cs="Times New Roman"/>
          <w:sz w:val="24"/>
          <w:szCs w:val="24"/>
        </w:rPr>
        <w:t>rely upon the COMPUSTAT data that is provided by Standard and Poor’s based upon annual 10-K filings.</w:t>
      </w:r>
      <w:r w:rsidR="009964D4">
        <w:rPr>
          <w:rFonts w:ascii="Times New Roman" w:hAnsi="Times New Roman" w:cs="Times New Roman"/>
          <w:sz w:val="24"/>
          <w:szCs w:val="24"/>
        </w:rPr>
        <w:t xml:space="preserve">  </w:t>
      </w:r>
      <w:r w:rsidR="00EF2CDB">
        <w:rPr>
          <w:rFonts w:ascii="Times New Roman" w:hAnsi="Times New Roman" w:cs="Times New Roman"/>
          <w:sz w:val="24"/>
          <w:szCs w:val="24"/>
        </w:rPr>
        <w:t>We examine a variety of leverage measures.  T</w:t>
      </w:r>
      <w:r w:rsidR="009964D4">
        <w:rPr>
          <w:rFonts w:ascii="Times New Roman" w:hAnsi="Times New Roman" w:cs="Times New Roman"/>
          <w:sz w:val="24"/>
          <w:szCs w:val="24"/>
        </w:rPr>
        <w:t xml:space="preserve">he book leverage ratio is </w:t>
      </w:r>
      <w:r w:rsidR="00EF2CDB">
        <w:rPr>
          <w:rFonts w:ascii="Times New Roman" w:hAnsi="Times New Roman" w:cs="Times New Roman"/>
          <w:sz w:val="24"/>
          <w:szCs w:val="24"/>
        </w:rPr>
        <w:t>defin</w:t>
      </w:r>
      <w:r w:rsidR="009964D4">
        <w:rPr>
          <w:rFonts w:ascii="Times New Roman" w:hAnsi="Times New Roman" w:cs="Times New Roman"/>
          <w:sz w:val="24"/>
          <w:szCs w:val="24"/>
        </w:rPr>
        <w:t>ed as the sum of short-term and long-term debt divided by the sum of short-term debt, long-term debt, and the book value of shareholders</w:t>
      </w:r>
      <w:r w:rsidR="009964D4" w:rsidRPr="0022460F">
        <w:rPr>
          <w:rFonts w:ascii="Times New Roman" w:hAnsi="Times New Roman" w:cs="Times New Roman"/>
          <w:sz w:val="24"/>
          <w:szCs w:val="24"/>
        </w:rPr>
        <w:t xml:space="preserve"> </w:t>
      </w:r>
      <w:r w:rsidR="009964D4">
        <w:rPr>
          <w:rFonts w:ascii="Times New Roman" w:hAnsi="Times New Roman" w:cs="Times New Roman"/>
          <w:sz w:val="24"/>
          <w:szCs w:val="24"/>
        </w:rPr>
        <w:t>equity.</w:t>
      </w:r>
      <w:r w:rsidR="00EF2CDB">
        <w:rPr>
          <w:rFonts w:ascii="Times New Roman" w:hAnsi="Times New Roman" w:cs="Times New Roman"/>
          <w:sz w:val="24"/>
          <w:szCs w:val="24"/>
        </w:rPr>
        <w:t xml:space="preserve">  By instead dividing total debt by the value of debt plus the firm’s equity market capitalization, we arrive at the market leverage ratio.  Additionally, we calculate the net book leverage ratio and net market leverage ratio as above but instead use debt minus cash in the numerator.  Note that this variable therefore can take on negative values should the firm have more cash than interest bearing debt. </w:t>
      </w:r>
      <w:r w:rsidR="00E52105">
        <w:rPr>
          <w:rFonts w:ascii="Times New Roman" w:hAnsi="Times New Roman" w:cs="Times New Roman"/>
          <w:sz w:val="24"/>
          <w:szCs w:val="24"/>
        </w:rPr>
        <w:t xml:space="preserve"> All of these measures are winsorized at the 1</w:t>
      </w:r>
      <w:r w:rsidR="00E52105" w:rsidRPr="00E52105">
        <w:rPr>
          <w:rFonts w:ascii="Times New Roman" w:hAnsi="Times New Roman" w:cs="Times New Roman"/>
          <w:sz w:val="24"/>
          <w:szCs w:val="24"/>
          <w:vertAlign w:val="superscript"/>
        </w:rPr>
        <w:t>st</w:t>
      </w:r>
      <w:r w:rsidR="00E52105">
        <w:rPr>
          <w:rFonts w:ascii="Times New Roman" w:hAnsi="Times New Roman" w:cs="Times New Roman"/>
          <w:sz w:val="24"/>
          <w:szCs w:val="24"/>
        </w:rPr>
        <w:t xml:space="preserve"> and 99</w:t>
      </w:r>
      <w:r w:rsidR="00E52105" w:rsidRPr="00E52105">
        <w:rPr>
          <w:rFonts w:ascii="Times New Roman" w:hAnsi="Times New Roman" w:cs="Times New Roman"/>
          <w:sz w:val="24"/>
          <w:szCs w:val="24"/>
          <w:vertAlign w:val="superscript"/>
        </w:rPr>
        <w:t>th</w:t>
      </w:r>
      <w:r w:rsidR="00E52105">
        <w:rPr>
          <w:rFonts w:ascii="Times New Roman" w:hAnsi="Times New Roman" w:cs="Times New Roman"/>
          <w:sz w:val="24"/>
          <w:szCs w:val="24"/>
        </w:rPr>
        <w:t xml:space="preserve"> percentiles.</w:t>
      </w:r>
      <w:r w:rsidR="009964D4">
        <w:rPr>
          <w:rFonts w:ascii="Times New Roman" w:hAnsi="Times New Roman" w:cs="Times New Roman"/>
          <w:sz w:val="24"/>
          <w:szCs w:val="24"/>
        </w:rPr>
        <w:t xml:space="preserve"> In addition, we </w:t>
      </w:r>
      <w:r w:rsidR="00DB3AE9">
        <w:rPr>
          <w:rFonts w:ascii="Times New Roman" w:hAnsi="Times New Roman" w:cs="Times New Roman"/>
          <w:sz w:val="24"/>
          <w:szCs w:val="24"/>
        </w:rPr>
        <w:t xml:space="preserve">follow Faulkender and Petersen (2006) and </w:t>
      </w:r>
      <w:r w:rsidR="009964D4">
        <w:rPr>
          <w:rFonts w:ascii="Times New Roman" w:hAnsi="Times New Roman" w:cs="Times New Roman"/>
          <w:sz w:val="24"/>
          <w:szCs w:val="24"/>
        </w:rPr>
        <w:t xml:space="preserve">employ the </w:t>
      </w:r>
      <w:r w:rsidR="00DB3AE9">
        <w:rPr>
          <w:rFonts w:ascii="Times New Roman" w:hAnsi="Times New Roman" w:cs="Times New Roman"/>
          <w:sz w:val="24"/>
          <w:szCs w:val="24"/>
        </w:rPr>
        <w:t xml:space="preserve">natural log of one plus the </w:t>
      </w:r>
      <w:r w:rsidR="009964D4">
        <w:rPr>
          <w:rFonts w:ascii="Times New Roman" w:hAnsi="Times New Roman" w:cs="Times New Roman"/>
          <w:sz w:val="24"/>
          <w:szCs w:val="24"/>
        </w:rPr>
        <w:t>interest coverage ratio, defined as EBITDA divided by interest expense</w:t>
      </w:r>
      <w:r w:rsidR="00DB3AE9">
        <w:rPr>
          <w:rFonts w:ascii="Times New Roman" w:hAnsi="Times New Roman" w:cs="Times New Roman"/>
          <w:sz w:val="24"/>
          <w:szCs w:val="24"/>
        </w:rPr>
        <w:t>,</w:t>
      </w:r>
      <w:r w:rsidR="009964D4">
        <w:rPr>
          <w:rFonts w:ascii="Times New Roman" w:hAnsi="Times New Roman" w:cs="Times New Roman"/>
          <w:sz w:val="24"/>
          <w:szCs w:val="24"/>
        </w:rPr>
        <w:t xml:space="preserve"> to get a sense of the annual cash flow obligations of the firm relative to the scale of its earnings.  </w:t>
      </w:r>
    </w:p>
    <w:p w:rsidR="0022460F" w:rsidRPr="0022460F" w:rsidRDefault="009964D4"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22460F" w:rsidRPr="0022460F">
        <w:rPr>
          <w:rFonts w:ascii="Times New Roman" w:hAnsi="Times New Roman" w:cs="Times New Roman"/>
          <w:sz w:val="24"/>
          <w:szCs w:val="24"/>
        </w:rPr>
        <w:t>ontrol variables include: firm size</w:t>
      </w:r>
      <w:r w:rsidR="00116484">
        <w:rPr>
          <w:rFonts w:ascii="Times New Roman" w:hAnsi="Times New Roman" w:cs="Times New Roman"/>
          <w:sz w:val="24"/>
          <w:szCs w:val="24"/>
        </w:rPr>
        <w:t xml:space="preserve"> as measured by the natural logarithm of sales</w:t>
      </w:r>
      <w:r w:rsidR="0022460F" w:rsidRPr="0022460F">
        <w:rPr>
          <w:rFonts w:ascii="Times New Roman" w:hAnsi="Times New Roman" w:cs="Times New Roman"/>
          <w:sz w:val="24"/>
          <w:szCs w:val="24"/>
        </w:rPr>
        <w:t>, profitability</w:t>
      </w:r>
      <w:r w:rsidR="00116484">
        <w:rPr>
          <w:rFonts w:ascii="Times New Roman" w:hAnsi="Times New Roman" w:cs="Times New Roman"/>
          <w:sz w:val="24"/>
          <w:szCs w:val="24"/>
        </w:rPr>
        <w:t xml:space="preserve"> as measured by EBIT over book assets</w:t>
      </w:r>
      <w:r w:rsidR="0022460F" w:rsidRPr="0022460F">
        <w:rPr>
          <w:rFonts w:ascii="Times New Roman" w:hAnsi="Times New Roman" w:cs="Times New Roman"/>
          <w:sz w:val="24"/>
          <w:szCs w:val="24"/>
        </w:rPr>
        <w:t>, asset tangibility</w:t>
      </w:r>
      <w:r w:rsidR="00116484">
        <w:rPr>
          <w:rFonts w:ascii="Times New Roman" w:hAnsi="Times New Roman" w:cs="Times New Roman"/>
          <w:sz w:val="24"/>
          <w:szCs w:val="24"/>
        </w:rPr>
        <w:t xml:space="preserve"> proxied</w:t>
      </w:r>
      <w:r w:rsidR="00710943">
        <w:rPr>
          <w:rFonts w:ascii="Times New Roman" w:hAnsi="Times New Roman" w:cs="Times New Roman"/>
          <w:sz w:val="24"/>
          <w:szCs w:val="24"/>
        </w:rPr>
        <w:t xml:space="preserve"> for by</w:t>
      </w:r>
      <w:r w:rsidR="00116484">
        <w:rPr>
          <w:rFonts w:ascii="Times New Roman" w:hAnsi="Times New Roman" w:cs="Times New Roman"/>
          <w:sz w:val="24"/>
          <w:szCs w:val="24"/>
        </w:rPr>
        <w:t xml:space="preserve"> the ratio of PP&amp;E to book assets</w:t>
      </w:r>
      <w:r w:rsidR="0022460F" w:rsidRPr="0022460F">
        <w:rPr>
          <w:rFonts w:ascii="Times New Roman" w:hAnsi="Times New Roman" w:cs="Times New Roman"/>
          <w:sz w:val="24"/>
          <w:szCs w:val="24"/>
        </w:rPr>
        <w:t>, growth opportunities</w:t>
      </w:r>
      <w:r w:rsidR="00116484">
        <w:rPr>
          <w:rFonts w:ascii="Times New Roman" w:hAnsi="Times New Roman" w:cs="Times New Roman"/>
          <w:sz w:val="24"/>
          <w:szCs w:val="24"/>
        </w:rPr>
        <w:t xml:space="preserve"> as measured by the ratio of R&amp;D to sales</w:t>
      </w:r>
      <w:r w:rsidR="00DF7359">
        <w:rPr>
          <w:rFonts w:ascii="Times New Roman" w:hAnsi="Times New Roman" w:cs="Times New Roman"/>
          <w:sz w:val="24"/>
          <w:szCs w:val="24"/>
        </w:rPr>
        <w:t xml:space="preserve">, advertising </w:t>
      </w:r>
      <w:r w:rsidR="00DF7359">
        <w:rPr>
          <w:rFonts w:ascii="Times New Roman" w:hAnsi="Times New Roman" w:cs="Times New Roman"/>
          <w:sz w:val="24"/>
          <w:szCs w:val="24"/>
        </w:rPr>
        <w:lastRenderedPageBreak/>
        <w:t>to sales,</w:t>
      </w:r>
      <w:r w:rsidR="00116484">
        <w:rPr>
          <w:rFonts w:ascii="Times New Roman" w:hAnsi="Times New Roman" w:cs="Times New Roman"/>
          <w:sz w:val="24"/>
          <w:szCs w:val="24"/>
        </w:rPr>
        <w:t xml:space="preserve"> and the market-to-book ratio</w:t>
      </w:r>
      <w:r w:rsidR="0022460F" w:rsidRPr="0022460F">
        <w:rPr>
          <w:rFonts w:ascii="Times New Roman" w:hAnsi="Times New Roman" w:cs="Times New Roman"/>
          <w:sz w:val="24"/>
          <w:szCs w:val="24"/>
        </w:rPr>
        <w:t xml:space="preserve">, and whether the firm has public debt </w:t>
      </w:r>
      <w:r w:rsidR="00116484">
        <w:rPr>
          <w:rFonts w:ascii="Times New Roman" w:hAnsi="Times New Roman" w:cs="Times New Roman"/>
          <w:sz w:val="24"/>
          <w:szCs w:val="24"/>
        </w:rPr>
        <w:t>outstanding during the fiscal year</w:t>
      </w:r>
      <w:r w:rsidR="0022460F" w:rsidRPr="0022460F">
        <w:rPr>
          <w:rFonts w:ascii="Times New Roman" w:hAnsi="Times New Roman" w:cs="Times New Roman"/>
          <w:sz w:val="24"/>
          <w:szCs w:val="24"/>
        </w:rPr>
        <w:t>.</w:t>
      </w:r>
    </w:p>
    <w:p w:rsidR="009964D4" w:rsidRDefault="0022460F" w:rsidP="007A418F">
      <w:pPr>
        <w:spacing w:line="480" w:lineRule="auto"/>
        <w:ind w:firstLine="720"/>
        <w:jc w:val="both"/>
        <w:rPr>
          <w:rFonts w:ascii="Times New Roman" w:hAnsi="Times New Roman" w:cs="Times New Roman"/>
          <w:sz w:val="24"/>
          <w:szCs w:val="24"/>
        </w:rPr>
      </w:pPr>
      <w:r w:rsidRPr="0022460F">
        <w:rPr>
          <w:rFonts w:ascii="Times New Roman" w:hAnsi="Times New Roman" w:cs="Times New Roman"/>
          <w:sz w:val="24"/>
          <w:szCs w:val="24"/>
        </w:rPr>
        <w:t>Theory suggests that the larger the implied tax rate confronting the firm, the more that the tax deductibility of interest (but not payments to equity holders) would incentivize firms to adopt higher leverage ratios. Therefore, our null hypothesis of no effect of the variation in tax rates on variation o</w:t>
      </w:r>
      <w:r w:rsidR="00375A0D">
        <w:rPr>
          <w:rFonts w:ascii="Times New Roman" w:hAnsi="Times New Roman" w:cs="Times New Roman"/>
          <w:sz w:val="24"/>
          <w:szCs w:val="24"/>
        </w:rPr>
        <w:t>f leverage is</w:t>
      </w:r>
      <w:r w:rsidRPr="0022460F">
        <w:rPr>
          <w:rFonts w:ascii="Times New Roman" w:hAnsi="Times New Roman" w:cs="Times New Roman"/>
          <w:sz w:val="24"/>
          <w:szCs w:val="24"/>
        </w:rPr>
        <w:t xml:space="preserve"> </w:t>
      </w:r>
      <w:r w:rsidR="00116484">
        <w:rPr>
          <w:rFonts w:ascii="Times New Roman" w:hAnsi="Times New Roman" w:cs="Times New Roman"/>
          <w:sz w:val="24"/>
          <w:szCs w:val="24"/>
        </w:rPr>
        <w:t xml:space="preserve">hypothesized to be </w:t>
      </w:r>
      <w:r w:rsidRPr="0022460F">
        <w:rPr>
          <w:rFonts w:ascii="Times New Roman" w:hAnsi="Times New Roman" w:cs="Times New Roman"/>
          <w:sz w:val="24"/>
          <w:szCs w:val="24"/>
        </w:rPr>
        <w:t>rejected in favor of a positive relationship between the two.</w:t>
      </w:r>
      <w:r w:rsidR="009964D4">
        <w:rPr>
          <w:rFonts w:ascii="Times New Roman" w:hAnsi="Times New Roman" w:cs="Times New Roman"/>
          <w:sz w:val="24"/>
          <w:szCs w:val="24"/>
        </w:rPr>
        <w:t xml:space="preserve">  Since interest coverage is higher for firms with smaller obligatory interest payments, we hypothesize a negative relationship between our weighted average tax variable and interest coverage.</w:t>
      </w:r>
      <w:r w:rsidRPr="0022460F">
        <w:rPr>
          <w:rFonts w:ascii="Times New Roman" w:hAnsi="Times New Roman" w:cs="Times New Roman"/>
          <w:sz w:val="24"/>
          <w:szCs w:val="24"/>
        </w:rPr>
        <w:t xml:space="preserve"> </w:t>
      </w:r>
    </w:p>
    <w:p w:rsidR="0022460F" w:rsidRDefault="009964D4"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Econometrically, w</w:t>
      </w:r>
      <w:r w:rsidR="00116484">
        <w:rPr>
          <w:rFonts w:ascii="Times New Roman" w:hAnsi="Times New Roman" w:cs="Times New Roman"/>
          <w:sz w:val="24"/>
          <w:szCs w:val="24"/>
        </w:rPr>
        <w:t xml:space="preserve">e employ an OLS regression without firm fixed effects despite the considerable explanatory power they have been demonstrated to provide (Lemmon, Roberts, and Zender (2008)) because we currently only have </w:t>
      </w:r>
      <w:r w:rsidR="00E52105">
        <w:rPr>
          <w:rFonts w:ascii="Times New Roman" w:hAnsi="Times New Roman" w:cs="Times New Roman"/>
          <w:sz w:val="24"/>
          <w:szCs w:val="24"/>
        </w:rPr>
        <w:t>a seven</w:t>
      </w:r>
      <w:r w:rsidR="00116484">
        <w:rPr>
          <w:rFonts w:ascii="Times New Roman" w:hAnsi="Times New Roman" w:cs="Times New Roman"/>
          <w:sz w:val="24"/>
          <w:szCs w:val="24"/>
        </w:rPr>
        <w:t xml:space="preserve"> year overlapping time period for multinational operations and international tax rates.  Variation in international operations is not significant over such a short window.  Therefore the fixed effects would span nearly all of the variation in corporate income tax rates, greatly reducing its estimated contribution.  </w:t>
      </w:r>
      <w:r w:rsidR="00E52105">
        <w:rPr>
          <w:rFonts w:ascii="Times New Roman" w:hAnsi="Times New Roman" w:cs="Times New Roman"/>
          <w:sz w:val="24"/>
          <w:szCs w:val="24"/>
        </w:rPr>
        <w:t>In these regressions</w:t>
      </w:r>
      <w:r>
        <w:rPr>
          <w:rFonts w:ascii="Times New Roman" w:hAnsi="Times New Roman" w:cs="Times New Roman"/>
          <w:sz w:val="24"/>
          <w:szCs w:val="24"/>
        </w:rPr>
        <w:t xml:space="preserve">, we employ year dummies and cluster the standard errors at the firm level to capture the lack of independence among the residuals for a given firm across years (Petersen, 2009).  </w:t>
      </w:r>
    </w:p>
    <w:p w:rsidR="00E52105" w:rsidRDefault="00E52105"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all specifications, we also estimate between regressions.  Since the location of foreign operations is largely firm-specific and time invariant, most of the variation in our regressions should be coming from cross-sectional differences and not from time variation for a given firm.  Since between regressions are estimates of the average dependent variable on the averages of the independent variables at the firm level, these specifications will focus entirely on the cross-</w:t>
      </w:r>
      <w:r>
        <w:rPr>
          <w:rFonts w:ascii="Times New Roman" w:hAnsi="Times New Roman" w:cs="Times New Roman"/>
          <w:sz w:val="24"/>
          <w:szCs w:val="24"/>
        </w:rPr>
        <w:lastRenderedPageBreak/>
        <w:t xml:space="preserve">sectional variation in leverage resulting from cross-sectional variation in estimated tax rates.  </w:t>
      </w:r>
      <w:r w:rsidR="00E62DAD">
        <w:rPr>
          <w:rFonts w:ascii="Times New Roman" w:hAnsi="Times New Roman" w:cs="Times New Roman"/>
          <w:sz w:val="24"/>
          <w:szCs w:val="24"/>
        </w:rPr>
        <w:t>These specifications do not include year effects since the estimates are on averages across time so any time series effects would come from the unbalanced nature of the panel, not due to variation over time in the average costs and benefits of leverage for all firms.</w:t>
      </w:r>
    </w:p>
    <w:p w:rsidR="009964D4" w:rsidRDefault="00E62DAD"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firms that we examine are larger and more profitable than the average C</w:t>
      </w:r>
      <w:r w:rsidR="005C1D4A">
        <w:rPr>
          <w:rFonts w:ascii="Times New Roman" w:hAnsi="Times New Roman" w:cs="Times New Roman"/>
          <w:sz w:val="24"/>
          <w:szCs w:val="24"/>
        </w:rPr>
        <w:t>OMPUSTAT</w:t>
      </w:r>
      <w:r>
        <w:rPr>
          <w:rFonts w:ascii="Times New Roman" w:hAnsi="Times New Roman" w:cs="Times New Roman"/>
          <w:sz w:val="24"/>
          <w:szCs w:val="24"/>
        </w:rPr>
        <w:t xml:space="preserve"> firm, an expected result given that we only examine multinational firms in the BEA dataset.  The summary statistics are located in Table 1.</w:t>
      </w:r>
      <w:r w:rsidR="00913A2A">
        <w:rPr>
          <w:rFonts w:ascii="Times New Roman" w:hAnsi="Times New Roman" w:cs="Times New Roman"/>
          <w:sz w:val="24"/>
          <w:szCs w:val="24"/>
        </w:rPr>
        <w:t xml:space="preserve">  In the first column, we provide statistics on the firms in the C</w:t>
      </w:r>
      <w:r w:rsidR="005C1D4A">
        <w:rPr>
          <w:rFonts w:ascii="Times New Roman" w:hAnsi="Times New Roman" w:cs="Times New Roman"/>
          <w:sz w:val="24"/>
          <w:szCs w:val="24"/>
        </w:rPr>
        <w:t>OMPUSTAT</w:t>
      </w:r>
      <w:r w:rsidR="00913A2A">
        <w:rPr>
          <w:rFonts w:ascii="Times New Roman" w:hAnsi="Times New Roman" w:cs="Times New Roman"/>
          <w:sz w:val="24"/>
          <w:szCs w:val="24"/>
        </w:rPr>
        <w:t xml:space="preserve"> dataset over the 2003 to 2009 time period.  The second column contains the subset of firm-years for which the firm does not appear in the BEA sample while the third column contains the BEA dataset observations.  Comparing the means and medians of the firms that are in our analysis (column 3) and those that are not (column 2), we see that our multinational firms are more levered, larger, and more profitable.  Looking at the tax rates that are estimated by Graham (1996) and Blouin, Core, and Guay (2010), </w:t>
      </w:r>
      <w:r w:rsidR="005C1D4A">
        <w:rPr>
          <w:rFonts w:ascii="Times New Roman" w:hAnsi="Times New Roman" w:cs="Times New Roman"/>
          <w:sz w:val="24"/>
          <w:szCs w:val="24"/>
        </w:rPr>
        <w:t>the firm-years for which BEA has information on multinational operations</w:t>
      </w:r>
      <w:r w:rsidR="00913A2A">
        <w:rPr>
          <w:rFonts w:ascii="Times New Roman" w:hAnsi="Times New Roman" w:cs="Times New Roman"/>
          <w:sz w:val="24"/>
          <w:szCs w:val="24"/>
        </w:rPr>
        <w:t xml:space="preserve"> has higher estimated tax rates</w:t>
      </w:r>
      <w:r w:rsidR="005C1D4A">
        <w:rPr>
          <w:rFonts w:ascii="Times New Roman" w:hAnsi="Times New Roman" w:cs="Times New Roman"/>
          <w:sz w:val="24"/>
          <w:szCs w:val="24"/>
        </w:rPr>
        <w:t xml:space="preserve"> than those firms that are purely domestic</w:t>
      </w:r>
      <w:r w:rsidR="00913A2A">
        <w:rPr>
          <w:rFonts w:ascii="Times New Roman" w:hAnsi="Times New Roman" w:cs="Times New Roman"/>
          <w:sz w:val="24"/>
          <w:szCs w:val="24"/>
        </w:rPr>
        <w:t xml:space="preserve">.  Interestingly, our estimated tax rate is, on average, higher than the tax rate estimates of the other two methods. </w:t>
      </w:r>
    </w:p>
    <w:p w:rsidR="0022460F" w:rsidRDefault="009964D4" w:rsidP="0022460F">
      <w:pPr>
        <w:spacing w:line="480" w:lineRule="auto"/>
        <w:rPr>
          <w:rFonts w:ascii="Times New Roman" w:hAnsi="Times New Roman" w:cs="Times New Roman"/>
          <w:b/>
          <w:sz w:val="28"/>
          <w:szCs w:val="24"/>
        </w:rPr>
      </w:pPr>
      <w:r>
        <w:rPr>
          <w:rFonts w:ascii="Times New Roman" w:hAnsi="Times New Roman" w:cs="Times New Roman"/>
          <w:b/>
          <w:sz w:val="28"/>
          <w:szCs w:val="24"/>
        </w:rPr>
        <w:t>IV. Results</w:t>
      </w:r>
    </w:p>
    <w:p w:rsidR="00CE4EC5" w:rsidRDefault="00832C44"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Leverage ratios are significantly higher when firms have </w:t>
      </w:r>
      <w:r w:rsidR="00913A2A">
        <w:rPr>
          <w:rFonts w:ascii="Times New Roman" w:hAnsi="Times New Roman" w:cs="Times New Roman"/>
          <w:sz w:val="24"/>
          <w:szCs w:val="24"/>
        </w:rPr>
        <w:t xml:space="preserve">high </w:t>
      </w:r>
      <w:r>
        <w:rPr>
          <w:rFonts w:ascii="Times New Roman" w:hAnsi="Times New Roman" w:cs="Times New Roman"/>
          <w:sz w:val="24"/>
          <w:szCs w:val="24"/>
        </w:rPr>
        <w:t>contemporaneous international tax exposures.  This sections presents the results of regressions containing our weighted average measure and compares them to the regression results arrived at using both the Graham (1996</w:t>
      </w:r>
      <w:r w:rsidR="008A006D">
        <w:rPr>
          <w:rFonts w:ascii="Times New Roman" w:hAnsi="Times New Roman" w:cs="Times New Roman"/>
          <w:sz w:val="24"/>
          <w:szCs w:val="24"/>
        </w:rPr>
        <w:t>a</w:t>
      </w:r>
      <w:r>
        <w:rPr>
          <w:rFonts w:ascii="Times New Roman" w:hAnsi="Times New Roman" w:cs="Times New Roman"/>
          <w:sz w:val="24"/>
          <w:szCs w:val="24"/>
        </w:rPr>
        <w:t>) estimated tax rates and the Blouin, Core, and Guay (20</w:t>
      </w:r>
      <w:r w:rsidR="008A006D">
        <w:rPr>
          <w:rFonts w:ascii="Times New Roman" w:hAnsi="Times New Roman" w:cs="Times New Roman"/>
          <w:sz w:val="24"/>
          <w:szCs w:val="24"/>
        </w:rPr>
        <w:t>10</w:t>
      </w:r>
      <w:r>
        <w:rPr>
          <w:rFonts w:ascii="Times New Roman" w:hAnsi="Times New Roman" w:cs="Times New Roman"/>
          <w:sz w:val="24"/>
          <w:szCs w:val="24"/>
        </w:rPr>
        <w:t>) estimates.  As Blouin, Core, and Guay (20</w:t>
      </w:r>
      <w:r w:rsidR="008A006D">
        <w:rPr>
          <w:rFonts w:ascii="Times New Roman" w:hAnsi="Times New Roman" w:cs="Times New Roman"/>
          <w:sz w:val="24"/>
          <w:szCs w:val="24"/>
        </w:rPr>
        <w:t>10</w:t>
      </w:r>
      <w:r>
        <w:rPr>
          <w:rFonts w:ascii="Times New Roman" w:hAnsi="Times New Roman" w:cs="Times New Roman"/>
          <w:sz w:val="24"/>
          <w:szCs w:val="24"/>
        </w:rPr>
        <w:t xml:space="preserve">) state, they expect their tax rates to be miss-measured for firms </w:t>
      </w:r>
      <w:r>
        <w:rPr>
          <w:rFonts w:ascii="Times New Roman" w:hAnsi="Times New Roman" w:cs="Times New Roman"/>
          <w:sz w:val="24"/>
          <w:szCs w:val="24"/>
        </w:rPr>
        <w:lastRenderedPageBreak/>
        <w:t>with significant overseas operations and find that their estimates have less explanatory power when examining multinationals relative to purely domestic firms.  The contribution of our paper is that we demonstrate that when we employ a blended tax rate that takes into account the variation in the tax rates and scale of multinational operations, we greatly improve our understanding of capital structure for multinationals.</w:t>
      </w:r>
    </w:p>
    <w:p w:rsidR="00832C44" w:rsidRDefault="00832C44"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Before proceeding to those results, we first provide a baseline specification of book leverage regressed on the standard set of controls used in numerous previous studies recognizing that the relationships may be different for a panel of only multinationals over this more truncated sample period.  Consistent with previous studies, rated firms, those with higher asset tangibility, and those with lower earnings have higher </w:t>
      </w:r>
      <w:r w:rsidR="00BA0C47">
        <w:rPr>
          <w:rFonts w:ascii="Times New Roman" w:hAnsi="Times New Roman" w:cs="Times New Roman"/>
          <w:sz w:val="24"/>
          <w:szCs w:val="24"/>
        </w:rPr>
        <w:t xml:space="preserve">leverage ratios.  Somewhat at odds with prior studies, firms engaged in more </w:t>
      </w:r>
      <w:r w:rsidR="009F04A6">
        <w:rPr>
          <w:rFonts w:ascii="Times New Roman" w:hAnsi="Times New Roman" w:cs="Times New Roman"/>
          <w:sz w:val="24"/>
          <w:szCs w:val="24"/>
        </w:rPr>
        <w:t>advertising</w:t>
      </w:r>
      <w:r w:rsidR="00BA0C47">
        <w:rPr>
          <w:rFonts w:ascii="Times New Roman" w:hAnsi="Times New Roman" w:cs="Times New Roman"/>
          <w:sz w:val="24"/>
          <w:szCs w:val="24"/>
        </w:rPr>
        <w:t xml:space="preserve"> and with higher market-to-book ratios, proxies generally interpreted as capturing cross-sectional variation in </w:t>
      </w:r>
      <w:r w:rsidR="009F04A6">
        <w:rPr>
          <w:rFonts w:ascii="Times New Roman" w:hAnsi="Times New Roman" w:cs="Times New Roman"/>
          <w:sz w:val="24"/>
          <w:szCs w:val="24"/>
        </w:rPr>
        <w:t>financial distress costs</w:t>
      </w:r>
      <w:r w:rsidR="00BA0C47">
        <w:rPr>
          <w:rFonts w:ascii="Times New Roman" w:hAnsi="Times New Roman" w:cs="Times New Roman"/>
          <w:sz w:val="24"/>
          <w:szCs w:val="24"/>
        </w:rPr>
        <w:t xml:space="preserve">, have higher leverage ratios.  Previous examinations on data sets containing both domestic and multinational firms have generally found that growth opportunities are negatively associated with leverage whereas we estimate a positive relationship.  </w:t>
      </w:r>
    </w:p>
    <w:p w:rsidR="00BA0C47" w:rsidRDefault="00BA0C47"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Moving to the effects of taxes, we begin by adding the Graham (1996</w:t>
      </w:r>
      <w:r w:rsidR="008A006D">
        <w:rPr>
          <w:rFonts w:ascii="Times New Roman" w:hAnsi="Times New Roman" w:cs="Times New Roman"/>
          <w:sz w:val="24"/>
          <w:szCs w:val="24"/>
        </w:rPr>
        <w:t>a</w:t>
      </w:r>
      <w:r>
        <w:rPr>
          <w:rFonts w:ascii="Times New Roman" w:hAnsi="Times New Roman" w:cs="Times New Roman"/>
          <w:sz w:val="24"/>
          <w:szCs w:val="24"/>
        </w:rPr>
        <w:t>) estimated tax rates to our baseline specification in column II and the Blouin, Core, and Guay (20</w:t>
      </w:r>
      <w:r w:rsidR="008A006D">
        <w:rPr>
          <w:rFonts w:ascii="Times New Roman" w:hAnsi="Times New Roman" w:cs="Times New Roman"/>
          <w:sz w:val="24"/>
          <w:szCs w:val="24"/>
        </w:rPr>
        <w:t>10</w:t>
      </w:r>
      <w:r>
        <w:rPr>
          <w:rFonts w:ascii="Times New Roman" w:hAnsi="Times New Roman" w:cs="Times New Roman"/>
          <w:sz w:val="24"/>
          <w:szCs w:val="24"/>
        </w:rPr>
        <w:t>) estimates in column III.  In both of these specifications, a coefficient that is negative and statistically significant is estimated.  This is the opposite of what theory argues.  Under these two measures of marginal tax rates, the results actually suggest that it is firms with low marginal tax rates that rely more heavily upon debt.</w:t>
      </w:r>
      <w:r w:rsidR="0093366B">
        <w:rPr>
          <w:rFonts w:ascii="Times New Roman" w:hAnsi="Times New Roman" w:cs="Times New Roman"/>
          <w:sz w:val="24"/>
          <w:szCs w:val="24"/>
        </w:rPr>
        <w:t xml:space="preserve">  Recall that we are only examining multinationals over a </w:t>
      </w:r>
      <w:r w:rsidR="00B56074">
        <w:rPr>
          <w:rFonts w:ascii="Times New Roman" w:hAnsi="Times New Roman" w:cs="Times New Roman"/>
          <w:sz w:val="24"/>
          <w:szCs w:val="24"/>
        </w:rPr>
        <w:t>shorter</w:t>
      </w:r>
      <w:r w:rsidR="0093366B">
        <w:rPr>
          <w:rFonts w:ascii="Times New Roman" w:hAnsi="Times New Roman" w:cs="Times New Roman"/>
          <w:sz w:val="24"/>
          <w:szCs w:val="24"/>
        </w:rPr>
        <w:t xml:space="preserve"> time period than those studies examined, the likely source of the differences in results.</w:t>
      </w:r>
    </w:p>
    <w:p w:rsidR="00BA0C47" w:rsidRDefault="00BA0C47"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shortcoming of both of these measures is the implicit assumption that foreign profits are contemporaneously repatriated making the US tax code the binding </w:t>
      </w:r>
      <w:r w:rsidR="0093366B">
        <w:rPr>
          <w:rFonts w:ascii="Times New Roman" w:hAnsi="Times New Roman" w:cs="Times New Roman"/>
          <w:sz w:val="24"/>
          <w:szCs w:val="24"/>
        </w:rPr>
        <w:t xml:space="preserve">tax rate structure.  However, as explained above, when firms retain the earnings in their foreign </w:t>
      </w:r>
      <w:r w:rsidR="001C1DBA">
        <w:rPr>
          <w:rFonts w:ascii="Times New Roman" w:hAnsi="Times New Roman" w:cs="Times New Roman"/>
          <w:sz w:val="24"/>
          <w:szCs w:val="24"/>
        </w:rPr>
        <w:t>affiliate</w:t>
      </w:r>
      <w:r w:rsidR="0093366B">
        <w:rPr>
          <w:rFonts w:ascii="Times New Roman" w:hAnsi="Times New Roman" w:cs="Times New Roman"/>
          <w:sz w:val="24"/>
          <w:szCs w:val="24"/>
        </w:rPr>
        <w:t xml:space="preserve">s, potentially in perpetuity (or in anticipation of the US eventually moving to a territorial tax system), it is the tax rate of the tax jurisdiction in which those operations are located that is relevant.  Since we are only examining the capital structures of multinationals, we substitute the US-based estimates of the corporate tax rate with our weighted average effective tax rate.  The results of this regression are located in column IV of </w:t>
      </w:r>
      <w:r w:rsidR="005C1D4A">
        <w:rPr>
          <w:rFonts w:ascii="Times New Roman" w:hAnsi="Times New Roman" w:cs="Times New Roman"/>
          <w:sz w:val="24"/>
          <w:szCs w:val="24"/>
        </w:rPr>
        <w:t>T</w:t>
      </w:r>
      <w:r w:rsidR="0093366B">
        <w:rPr>
          <w:rFonts w:ascii="Times New Roman" w:hAnsi="Times New Roman" w:cs="Times New Roman"/>
          <w:sz w:val="24"/>
          <w:szCs w:val="24"/>
        </w:rPr>
        <w:t>able</w:t>
      </w:r>
      <w:r w:rsidR="005C1D4A">
        <w:rPr>
          <w:rFonts w:ascii="Times New Roman" w:hAnsi="Times New Roman" w:cs="Times New Roman"/>
          <w:sz w:val="24"/>
          <w:szCs w:val="24"/>
        </w:rPr>
        <w:t xml:space="preserve"> 2</w:t>
      </w:r>
      <w:r w:rsidR="0093366B">
        <w:rPr>
          <w:rFonts w:ascii="Times New Roman" w:hAnsi="Times New Roman" w:cs="Times New Roman"/>
          <w:sz w:val="24"/>
          <w:szCs w:val="24"/>
        </w:rPr>
        <w:t>.</w:t>
      </w:r>
    </w:p>
    <w:p w:rsidR="00B56074" w:rsidRDefault="0093366B"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Firms with higher estimated tax rate obligations appear to shelter more of their income from taxation by employing leverage.  Looking at the estimated coefficient on our weighted-average tax measure, we see that firms with operation</w:t>
      </w:r>
      <w:r w:rsidR="00DB3AE9">
        <w:rPr>
          <w:rFonts w:ascii="Times New Roman" w:hAnsi="Times New Roman" w:cs="Times New Roman"/>
          <w:sz w:val="24"/>
          <w:szCs w:val="24"/>
        </w:rPr>
        <w:t>s</w:t>
      </w:r>
      <w:r>
        <w:rPr>
          <w:rFonts w:ascii="Times New Roman" w:hAnsi="Times New Roman" w:cs="Times New Roman"/>
          <w:sz w:val="24"/>
          <w:szCs w:val="24"/>
        </w:rPr>
        <w:t xml:space="preserve"> located in low tax jurisdictions that generate an estimated tax rate ten percent lower than an otherwise equivalent firm (25% instead of 35% for example) have less debt equivalent to </w:t>
      </w:r>
      <w:r w:rsidR="00B56074">
        <w:rPr>
          <w:rFonts w:ascii="Times New Roman" w:hAnsi="Times New Roman" w:cs="Times New Roman"/>
          <w:sz w:val="24"/>
          <w:szCs w:val="24"/>
        </w:rPr>
        <w:t>3</w:t>
      </w:r>
      <w:r>
        <w:rPr>
          <w:rFonts w:ascii="Times New Roman" w:hAnsi="Times New Roman" w:cs="Times New Roman"/>
          <w:sz w:val="24"/>
          <w:szCs w:val="24"/>
        </w:rPr>
        <w:t>.</w:t>
      </w:r>
      <w:r w:rsidR="00B56074">
        <w:rPr>
          <w:rFonts w:ascii="Times New Roman" w:hAnsi="Times New Roman" w:cs="Times New Roman"/>
          <w:sz w:val="24"/>
          <w:szCs w:val="24"/>
        </w:rPr>
        <w:t>2</w:t>
      </w:r>
      <w:r>
        <w:rPr>
          <w:rFonts w:ascii="Times New Roman" w:hAnsi="Times New Roman" w:cs="Times New Roman"/>
          <w:sz w:val="24"/>
          <w:szCs w:val="24"/>
        </w:rPr>
        <w:t xml:space="preserve">% of the book value of the firms debt plus equity.  Relative to an average book leverage ratio of </w:t>
      </w:r>
      <w:r w:rsidR="00B56074">
        <w:rPr>
          <w:rFonts w:ascii="Times New Roman" w:hAnsi="Times New Roman" w:cs="Times New Roman"/>
          <w:sz w:val="24"/>
          <w:szCs w:val="24"/>
        </w:rPr>
        <w:t>34.5</w:t>
      </w:r>
      <w:r>
        <w:rPr>
          <w:rFonts w:ascii="Times New Roman" w:hAnsi="Times New Roman" w:cs="Times New Roman"/>
          <w:sz w:val="24"/>
          <w:szCs w:val="24"/>
        </w:rPr>
        <w:t xml:space="preserve">%, this reduction in leverage is economically significant, in addition to the coefficient being statistically significant </w:t>
      </w:r>
      <w:r w:rsidR="00B56074">
        <w:rPr>
          <w:rFonts w:ascii="Times New Roman" w:hAnsi="Times New Roman" w:cs="Times New Roman"/>
          <w:sz w:val="24"/>
          <w:szCs w:val="24"/>
        </w:rPr>
        <w:t>at better than one percent</w:t>
      </w:r>
      <w:r>
        <w:rPr>
          <w:rFonts w:ascii="Times New Roman" w:hAnsi="Times New Roman" w:cs="Times New Roman"/>
          <w:sz w:val="24"/>
          <w:szCs w:val="24"/>
        </w:rPr>
        <w:t>.</w:t>
      </w:r>
      <w:r w:rsidR="00DB3AE9">
        <w:rPr>
          <w:rFonts w:ascii="Times New Roman" w:hAnsi="Times New Roman" w:cs="Times New Roman"/>
          <w:sz w:val="24"/>
          <w:szCs w:val="24"/>
        </w:rPr>
        <w:t xml:space="preserve">  </w:t>
      </w:r>
    </w:p>
    <w:p w:rsidR="00B56074" w:rsidRDefault="00B56074"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 alternative econometric specification that focuses solely on the cross-sectional variation is to employ a between regression which regresses the firm’s average book leverage on the firm’s average independent variables across the sample period.  Since firms are unlikely to be moving operations annually with minor fluctuations in tax rates, the effect is expected to primarily be cross-sectional</w:t>
      </w:r>
      <w:r w:rsidR="003E6D4C">
        <w:rPr>
          <w:rFonts w:ascii="Times New Roman" w:hAnsi="Times New Roman" w:cs="Times New Roman"/>
          <w:sz w:val="24"/>
          <w:szCs w:val="24"/>
        </w:rPr>
        <w:t>.  Thus, a between estimate is appropriate for such a setting.  The results of such specifications are located in columns V to VIII of Table 2.</w:t>
      </w:r>
    </w:p>
    <w:p w:rsidR="003E6D4C" w:rsidRDefault="003E6D4C"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Similar to the OLS results, the tax variables estimated by Graham (2006) and Blouin, Core, and Guay (2010) estimate negative effects between the average book leverage ratio and the firm-specific average estimated tax rate.  Contrast that with our weighted average tax rate which in column VIII takes on a significantly positive coefficient of 0.594 which is statistically significant at better than one percent.  Economically, this coefficient corresponds to a 5.9% higher book leverage ratio for a firm with a 35% average tax rate compared to an otherwise identical firm with a 25% average tax rate.  These results demonstrate that, contrary to some of the earlier literature finding that tax effects were negligible, firms that confront high tax rates have economically and statistically significant more debt than otherwise equivalent firms.</w:t>
      </w:r>
    </w:p>
    <w:p w:rsidR="003E6D4C" w:rsidRDefault="001F5311"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are very similar when we instead examine m</w:t>
      </w:r>
      <w:r w:rsidR="003E6D4C">
        <w:rPr>
          <w:rFonts w:ascii="Times New Roman" w:hAnsi="Times New Roman" w:cs="Times New Roman"/>
          <w:sz w:val="24"/>
          <w:szCs w:val="24"/>
        </w:rPr>
        <w:t xml:space="preserve">arket </w:t>
      </w:r>
      <w:r>
        <w:rPr>
          <w:rFonts w:ascii="Times New Roman" w:hAnsi="Times New Roman" w:cs="Times New Roman"/>
          <w:sz w:val="24"/>
          <w:szCs w:val="24"/>
        </w:rPr>
        <w:t>l</w:t>
      </w:r>
      <w:r w:rsidR="003E6D4C">
        <w:rPr>
          <w:rFonts w:ascii="Times New Roman" w:hAnsi="Times New Roman" w:cs="Times New Roman"/>
          <w:sz w:val="24"/>
          <w:szCs w:val="24"/>
        </w:rPr>
        <w:t>everage</w:t>
      </w:r>
      <w:r>
        <w:rPr>
          <w:rFonts w:ascii="Times New Roman" w:hAnsi="Times New Roman" w:cs="Times New Roman"/>
          <w:sz w:val="24"/>
          <w:szCs w:val="24"/>
        </w:rPr>
        <w:t>.  For both the Graham (1996) measure and the Blouin, Core, and Guay (2010) measure, the signs in the OLS and the between regressions (located in Table 3) are negative and the coefficients are statistically significant at better than one percent.  As with book leverage, these coefficients have signs that are opposite what is predicted by theory. However, moving to our internationally weighted tax measure, the coefficient is positive.  In the OLS specification, our estimate is not statistically significant but in the between regression, the estimated coefficient is significantly different from zero with better than five percent statistical significance.  Recall that an OLS estimate in a panel regression explains both the cross-sectional and time-series variation in the dependent variable</w:t>
      </w:r>
      <w:r w:rsidR="00DF14D3">
        <w:rPr>
          <w:rFonts w:ascii="Times New Roman" w:hAnsi="Times New Roman" w:cs="Times New Roman"/>
          <w:sz w:val="24"/>
          <w:szCs w:val="24"/>
        </w:rPr>
        <w:t xml:space="preserve"> whereas the between regression solely measures cross-sectional variation.  Since we expect that firms do not vary the location of their operations significantly over a short time period, the firm-specific variation in the tax measure is likely to be noise.  Additionally, our sample period covers the financial crisis, a time period over which market valuations moved significantly even though the benefits from shielding income from taxation did not change significantly.  It is therefore not </w:t>
      </w:r>
      <w:r w:rsidR="00DF14D3">
        <w:rPr>
          <w:rFonts w:ascii="Times New Roman" w:hAnsi="Times New Roman" w:cs="Times New Roman"/>
          <w:sz w:val="24"/>
          <w:szCs w:val="24"/>
        </w:rPr>
        <w:lastRenderedPageBreak/>
        <w:t>surprising that when this time-series variation is removed and we focus on the difference in the cross-section (the between regressions), we find a statistically and economically significant effect of variation in tax rates on the market value of leverage.</w:t>
      </w:r>
    </w:p>
    <w:p w:rsidR="003E6D4C" w:rsidRDefault="00DF14D3"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effects that we have documented so far solely examine the extent to which firms include debt in the capital structure in relation to the effective tax rate it confronts.  This examination may underestimate the true effect of variation in corporate taxation on firm financial policy.  Specifically, it has been argued by Foley, H</w:t>
      </w:r>
      <w:r w:rsidR="007A418F">
        <w:rPr>
          <w:rFonts w:ascii="Times New Roman" w:hAnsi="Times New Roman" w:cs="Times New Roman"/>
          <w:sz w:val="24"/>
          <w:szCs w:val="24"/>
        </w:rPr>
        <w:t>artzell, Titman, and Twite (2007</w:t>
      </w:r>
      <w:r>
        <w:rPr>
          <w:rFonts w:ascii="Times New Roman" w:hAnsi="Times New Roman" w:cs="Times New Roman"/>
          <w:sz w:val="24"/>
          <w:szCs w:val="24"/>
        </w:rPr>
        <w:t>) that firms also increase their cash holdings when they operate in low tax jurisdictions.  The earnings of these U.S. headquartered multinational firms are only subject to the low tax rates we have measured if those earnings remain abroad.  Should the firm repatriate the funds, they would be subject to U.S. taxation effectively for the difference between the US corporate income tax rate and what was paid in the foreign tax jurisdiction.  If that were the case, it would be the US tax code that is binding (the code under which Graham (2006) and Blouin, Core, and Guay (2010) measure their tax rate estimates)</w:t>
      </w:r>
      <w:r w:rsidR="00E06305">
        <w:rPr>
          <w:rFonts w:ascii="Times New Roman" w:hAnsi="Times New Roman" w:cs="Times New Roman"/>
          <w:sz w:val="24"/>
          <w:szCs w:val="24"/>
        </w:rPr>
        <w:t xml:space="preserve"> and our measure would be irrelevant.  Because the money has not been repatriated, much of it is held as cash </w:t>
      </w:r>
      <w:r w:rsidR="005C1D4A">
        <w:rPr>
          <w:rFonts w:ascii="Times New Roman" w:hAnsi="Times New Roman" w:cs="Times New Roman"/>
          <w:sz w:val="24"/>
          <w:szCs w:val="24"/>
        </w:rPr>
        <w:t xml:space="preserve">or marketable securities </w:t>
      </w:r>
      <w:r w:rsidR="00E06305">
        <w:rPr>
          <w:rFonts w:ascii="Times New Roman" w:hAnsi="Times New Roman" w:cs="Times New Roman"/>
          <w:sz w:val="24"/>
          <w:szCs w:val="24"/>
        </w:rPr>
        <w:t xml:space="preserve">in a foreign </w:t>
      </w:r>
      <w:r w:rsidR="001C1DBA">
        <w:rPr>
          <w:rFonts w:ascii="Times New Roman" w:hAnsi="Times New Roman" w:cs="Times New Roman"/>
          <w:sz w:val="24"/>
          <w:szCs w:val="24"/>
        </w:rPr>
        <w:t>affiliate</w:t>
      </w:r>
      <w:r w:rsidR="00E06305">
        <w:rPr>
          <w:rFonts w:ascii="Times New Roman" w:hAnsi="Times New Roman" w:cs="Times New Roman"/>
          <w:sz w:val="24"/>
          <w:szCs w:val="24"/>
        </w:rPr>
        <w:t xml:space="preserve">.  The domestic parent may choose to issue debt because they cannot freely deploy the cash that is “trapped” in the foreign </w:t>
      </w:r>
      <w:r w:rsidR="001C1DBA">
        <w:rPr>
          <w:rFonts w:ascii="Times New Roman" w:hAnsi="Times New Roman" w:cs="Times New Roman"/>
          <w:sz w:val="24"/>
          <w:szCs w:val="24"/>
        </w:rPr>
        <w:t>affiliate</w:t>
      </w:r>
      <w:r w:rsidR="00E06305">
        <w:rPr>
          <w:rFonts w:ascii="Times New Roman" w:hAnsi="Times New Roman" w:cs="Times New Roman"/>
          <w:sz w:val="24"/>
          <w:szCs w:val="24"/>
        </w:rPr>
        <w:t xml:space="preserve">.  One way to determine if that is the case is to re-estimate our regressions by substituting the difference between debt and cash </w:t>
      </w:r>
      <w:r w:rsidR="005C1D4A">
        <w:rPr>
          <w:rFonts w:ascii="Times New Roman" w:hAnsi="Times New Roman" w:cs="Times New Roman"/>
          <w:sz w:val="24"/>
          <w:szCs w:val="24"/>
        </w:rPr>
        <w:t xml:space="preserve">(plus marketable securities) </w:t>
      </w:r>
      <w:r w:rsidR="00E06305">
        <w:rPr>
          <w:rFonts w:ascii="Times New Roman" w:hAnsi="Times New Roman" w:cs="Times New Roman"/>
          <w:sz w:val="24"/>
          <w:szCs w:val="24"/>
        </w:rPr>
        <w:t xml:space="preserve">in the numerator of our two leverage measures.  </w:t>
      </w:r>
      <w:r w:rsidR="007A28CE">
        <w:rPr>
          <w:rFonts w:ascii="Times New Roman" w:hAnsi="Times New Roman" w:cs="Times New Roman"/>
          <w:sz w:val="24"/>
          <w:szCs w:val="24"/>
        </w:rPr>
        <w:t>Additionally, leverage measures are naturally truncated at zero whereas net leverage measures can take negative values if cash exceeds debt.  Regressions examining net leverage do not confront the issue of a truncated lower bo</w:t>
      </w:r>
      <w:r w:rsidR="005C1D4A">
        <w:rPr>
          <w:rFonts w:ascii="Times New Roman" w:hAnsi="Times New Roman" w:cs="Times New Roman"/>
          <w:sz w:val="24"/>
          <w:szCs w:val="24"/>
        </w:rPr>
        <w:t>und</w:t>
      </w:r>
      <w:r w:rsidR="007A28CE">
        <w:rPr>
          <w:rFonts w:ascii="Times New Roman" w:hAnsi="Times New Roman" w:cs="Times New Roman"/>
          <w:sz w:val="24"/>
          <w:szCs w:val="24"/>
        </w:rPr>
        <w:t xml:space="preserve">.  </w:t>
      </w:r>
      <w:r w:rsidR="00E06305">
        <w:rPr>
          <w:rFonts w:ascii="Times New Roman" w:hAnsi="Times New Roman" w:cs="Times New Roman"/>
          <w:sz w:val="24"/>
          <w:szCs w:val="24"/>
        </w:rPr>
        <w:t>The results of n</w:t>
      </w:r>
      <w:r w:rsidR="003E6D4C">
        <w:rPr>
          <w:rFonts w:ascii="Times New Roman" w:hAnsi="Times New Roman" w:cs="Times New Roman"/>
          <w:sz w:val="24"/>
          <w:szCs w:val="24"/>
        </w:rPr>
        <w:t xml:space="preserve">et </w:t>
      </w:r>
      <w:r w:rsidR="00E06305">
        <w:rPr>
          <w:rFonts w:ascii="Times New Roman" w:hAnsi="Times New Roman" w:cs="Times New Roman"/>
          <w:sz w:val="24"/>
          <w:szCs w:val="24"/>
        </w:rPr>
        <w:t>b</w:t>
      </w:r>
      <w:r w:rsidR="003E6D4C">
        <w:rPr>
          <w:rFonts w:ascii="Times New Roman" w:hAnsi="Times New Roman" w:cs="Times New Roman"/>
          <w:sz w:val="24"/>
          <w:szCs w:val="24"/>
        </w:rPr>
        <w:t xml:space="preserve">ook </w:t>
      </w:r>
      <w:r w:rsidR="00E06305">
        <w:rPr>
          <w:rFonts w:ascii="Times New Roman" w:hAnsi="Times New Roman" w:cs="Times New Roman"/>
          <w:sz w:val="24"/>
          <w:szCs w:val="24"/>
        </w:rPr>
        <w:t>l</w:t>
      </w:r>
      <w:r w:rsidR="003E6D4C">
        <w:rPr>
          <w:rFonts w:ascii="Times New Roman" w:hAnsi="Times New Roman" w:cs="Times New Roman"/>
          <w:sz w:val="24"/>
          <w:szCs w:val="24"/>
        </w:rPr>
        <w:t>everage</w:t>
      </w:r>
      <w:r w:rsidR="00E06305">
        <w:rPr>
          <w:rFonts w:ascii="Times New Roman" w:hAnsi="Times New Roman" w:cs="Times New Roman"/>
          <w:sz w:val="24"/>
          <w:szCs w:val="24"/>
        </w:rPr>
        <w:t xml:space="preserve"> regressions are located in Table 4 and net market leverage results are located in Table 5.</w:t>
      </w:r>
    </w:p>
    <w:p w:rsidR="00E06305" w:rsidRDefault="00E06305"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results are even stronger when we examine net book leverage.  While the Graham (2006) tax estimates still generate negative coefficient estimates (statistically significant in the between regressions specification), and the Blouin, Core, and Guay (2010) tax estimates generate positive but statistically insignificant coefficient estimates, our tax measure retains its positive coefficient estimates with better than one percent statistical significance.  More interestingly, the coefficient magnitudes are twice the size of the estimated coefficients in the standard book leverage regressions.  Comparing a firm with a 35% effective tax rate to one with a 25% effective tax rate across its international operations, the higher tax rate confronting firm has on average 7.8% of book assets more debt net of cash according to the OLS specification results, 12% of book assets more debt net of cash in the between regression specification.  Recognize that the average firm in the sample has an amount of debt in excess of its assets equivalent to 9.2% of its assets.  Our effective tax rate measure has a standard deviation of 5.4% so for roughly a two standard deviation increase in the tax rate confronting a firm, </w:t>
      </w:r>
      <w:r w:rsidR="007A28CE">
        <w:rPr>
          <w:rFonts w:ascii="Times New Roman" w:hAnsi="Times New Roman" w:cs="Times New Roman"/>
          <w:sz w:val="24"/>
          <w:szCs w:val="24"/>
        </w:rPr>
        <w:t>we find a change in net book leverage of a magnitude equivalent to the mean amount of debt net of cash the firm has relative to its assets.  These results complement Foley et al (2007) since they too found that lower tax rates are associated with more cash, which would make net leverage ratios lower (our finding).</w:t>
      </w:r>
    </w:p>
    <w:p w:rsidR="003E6D4C" w:rsidRDefault="003E6D4C" w:rsidP="007A418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A28CE">
        <w:rPr>
          <w:rFonts w:ascii="Times New Roman" w:hAnsi="Times New Roman" w:cs="Times New Roman"/>
          <w:sz w:val="24"/>
          <w:szCs w:val="24"/>
        </w:rPr>
        <w:t>Moving to n</w:t>
      </w:r>
      <w:r>
        <w:rPr>
          <w:rFonts w:ascii="Times New Roman" w:hAnsi="Times New Roman" w:cs="Times New Roman"/>
          <w:sz w:val="24"/>
          <w:szCs w:val="24"/>
        </w:rPr>
        <w:t xml:space="preserve">et </w:t>
      </w:r>
      <w:r w:rsidR="007A28CE">
        <w:rPr>
          <w:rFonts w:ascii="Times New Roman" w:hAnsi="Times New Roman" w:cs="Times New Roman"/>
          <w:sz w:val="24"/>
          <w:szCs w:val="24"/>
        </w:rPr>
        <w:t>m</w:t>
      </w:r>
      <w:r>
        <w:rPr>
          <w:rFonts w:ascii="Times New Roman" w:hAnsi="Times New Roman" w:cs="Times New Roman"/>
          <w:sz w:val="24"/>
          <w:szCs w:val="24"/>
        </w:rPr>
        <w:t xml:space="preserve">arket </w:t>
      </w:r>
      <w:r w:rsidR="007A28CE">
        <w:rPr>
          <w:rFonts w:ascii="Times New Roman" w:hAnsi="Times New Roman" w:cs="Times New Roman"/>
          <w:sz w:val="24"/>
          <w:szCs w:val="24"/>
        </w:rPr>
        <w:t>l</w:t>
      </w:r>
      <w:r>
        <w:rPr>
          <w:rFonts w:ascii="Times New Roman" w:hAnsi="Times New Roman" w:cs="Times New Roman"/>
          <w:sz w:val="24"/>
          <w:szCs w:val="24"/>
        </w:rPr>
        <w:t>everage</w:t>
      </w:r>
      <w:r w:rsidR="007A28CE">
        <w:rPr>
          <w:rFonts w:ascii="Times New Roman" w:hAnsi="Times New Roman" w:cs="Times New Roman"/>
          <w:sz w:val="24"/>
          <w:szCs w:val="24"/>
        </w:rPr>
        <w:t xml:space="preserve">, the results are again similar to what we documented with net book leverage.  While in this case the Graham (2006) estimates are not statistically significant, the Blouin, Core, and Guay (2010) tax measures are positive and statistically significant in explaining the amount of debt net of cash firms have as a percentage of their market value.  Our coefficient estimates are likewise positive and statistically significant.  </w:t>
      </w:r>
      <w:r w:rsidR="007A28CE">
        <w:rPr>
          <w:rFonts w:ascii="Times New Roman" w:hAnsi="Times New Roman" w:cs="Times New Roman"/>
          <w:sz w:val="24"/>
          <w:szCs w:val="24"/>
        </w:rPr>
        <w:lastRenderedPageBreak/>
        <w:t xml:space="preserve">Additionally, in both the OLS and between estimates, our coefficient magnitudes are larger in magnitude and our p-values are lower.  </w:t>
      </w:r>
    </w:p>
    <w:p w:rsidR="00147E49" w:rsidRDefault="00DB3AE9"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 alternative way to estimate capital structure effects is to look at the portion of a firm’s annual earnings obligated to interest expense, an income statement approach rather than a balance sheet approach.  Table</w:t>
      </w:r>
      <w:r w:rsidR="007A28CE">
        <w:rPr>
          <w:rFonts w:ascii="Times New Roman" w:hAnsi="Times New Roman" w:cs="Times New Roman"/>
          <w:sz w:val="24"/>
          <w:szCs w:val="24"/>
        </w:rPr>
        <w:t xml:space="preserve"> 6</w:t>
      </w:r>
      <w:r>
        <w:rPr>
          <w:rFonts w:ascii="Times New Roman" w:hAnsi="Times New Roman" w:cs="Times New Roman"/>
          <w:sz w:val="24"/>
          <w:szCs w:val="24"/>
        </w:rPr>
        <w:t xml:space="preserve"> provides the results of regressing our measure of interest coverage (</w:t>
      </w:r>
      <w:r w:rsidR="00147E49">
        <w:rPr>
          <w:rFonts w:ascii="Times New Roman" w:hAnsi="Times New Roman" w:cs="Times New Roman"/>
          <w:sz w:val="24"/>
          <w:szCs w:val="24"/>
        </w:rPr>
        <w:t>the natural log of one plus the interest coverage ratio) on the same set of controls and tax rate variables employed above.</w:t>
      </w:r>
      <w:r w:rsidR="007A28CE">
        <w:rPr>
          <w:rFonts w:ascii="Times New Roman" w:hAnsi="Times New Roman" w:cs="Times New Roman"/>
          <w:sz w:val="24"/>
          <w:szCs w:val="24"/>
        </w:rPr>
        <w:t xml:space="preserve">  </w:t>
      </w:r>
      <w:r w:rsidR="00147E49">
        <w:rPr>
          <w:rFonts w:ascii="Times New Roman" w:hAnsi="Times New Roman" w:cs="Times New Roman"/>
          <w:sz w:val="24"/>
          <w:szCs w:val="24"/>
        </w:rPr>
        <w:t>Similar to the baseline specification</w:t>
      </w:r>
      <w:r w:rsidR="007A28CE">
        <w:rPr>
          <w:rFonts w:ascii="Times New Roman" w:hAnsi="Times New Roman" w:cs="Times New Roman"/>
          <w:sz w:val="24"/>
          <w:szCs w:val="24"/>
        </w:rPr>
        <w:t>s</w:t>
      </w:r>
      <w:r w:rsidR="00147E49">
        <w:rPr>
          <w:rFonts w:ascii="Times New Roman" w:hAnsi="Times New Roman" w:cs="Times New Roman"/>
          <w:sz w:val="24"/>
          <w:szCs w:val="24"/>
        </w:rPr>
        <w:t xml:space="preserve"> for </w:t>
      </w:r>
      <w:r w:rsidR="007A28CE">
        <w:rPr>
          <w:rFonts w:ascii="Times New Roman" w:hAnsi="Times New Roman" w:cs="Times New Roman"/>
          <w:sz w:val="24"/>
          <w:szCs w:val="24"/>
        </w:rPr>
        <w:t>le</w:t>
      </w:r>
      <w:r w:rsidR="00147E49">
        <w:rPr>
          <w:rFonts w:ascii="Times New Roman" w:hAnsi="Times New Roman" w:cs="Times New Roman"/>
          <w:sz w:val="24"/>
          <w:szCs w:val="24"/>
        </w:rPr>
        <w:t>verage, rated firms with greater asset tangibility and lower earnings have lower interest coverage ratios (more debt).  Firms with greater growth opportunities, as measured by R&amp;</w:t>
      </w:r>
      <w:r w:rsidR="007A28CE">
        <w:rPr>
          <w:rFonts w:ascii="Times New Roman" w:hAnsi="Times New Roman" w:cs="Times New Roman"/>
          <w:sz w:val="24"/>
          <w:szCs w:val="24"/>
        </w:rPr>
        <w:t>D and the market-to-book ratio</w:t>
      </w:r>
      <w:r w:rsidR="00147E49">
        <w:rPr>
          <w:rFonts w:ascii="Times New Roman" w:hAnsi="Times New Roman" w:cs="Times New Roman"/>
          <w:sz w:val="24"/>
          <w:szCs w:val="24"/>
        </w:rPr>
        <w:t xml:space="preserve">, have higher interest coverage ratios, consistent with them wanting to have less of their operating cash flow encumbered by obligatory interest payments that may impede the firm’s ability to take advantage of its growth opportunities.  </w:t>
      </w:r>
    </w:p>
    <w:p w:rsidR="00147E49" w:rsidRDefault="00147E49"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Adding in the Graham (1996</w:t>
      </w:r>
      <w:r w:rsidR="000660DC">
        <w:rPr>
          <w:rFonts w:ascii="Times New Roman" w:hAnsi="Times New Roman" w:cs="Times New Roman"/>
          <w:sz w:val="24"/>
          <w:szCs w:val="24"/>
        </w:rPr>
        <w:t>a</w:t>
      </w:r>
      <w:r>
        <w:rPr>
          <w:rFonts w:ascii="Times New Roman" w:hAnsi="Times New Roman" w:cs="Times New Roman"/>
          <w:sz w:val="24"/>
          <w:szCs w:val="24"/>
        </w:rPr>
        <w:t>) and Blouin, Core, and Guay (20</w:t>
      </w:r>
      <w:r w:rsidR="000660DC">
        <w:rPr>
          <w:rFonts w:ascii="Times New Roman" w:hAnsi="Times New Roman" w:cs="Times New Roman"/>
          <w:sz w:val="24"/>
          <w:szCs w:val="24"/>
        </w:rPr>
        <w:t>10</w:t>
      </w:r>
      <w:r>
        <w:rPr>
          <w:rFonts w:ascii="Times New Roman" w:hAnsi="Times New Roman" w:cs="Times New Roman"/>
          <w:sz w:val="24"/>
          <w:szCs w:val="24"/>
        </w:rPr>
        <w:t xml:space="preserve">) tax variables, we again find that for multinationals over the four year period we examine, firms with higher tax rates have significantly higher interest coverage ratios (less debt).  Rather than shielding more of their income from corporate taxation in light of the higher tax rate they would hypothetically confront, they actually have smaller obligatory interest payments relative to the scale of their earnings.  </w:t>
      </w:r>
      <w:r w:rsidR="003A7587">
        <w:rPr>
          <w:rFonts w:ascii="Times New Roman" w:hAnsi="Times New Roman" w:cs="Times New Roman"/>
          <w:sz w:val="24"/>
          <w:szCs w:val="24"/>
        </w:rPr>
        <w:t>For the Graham (1996</w:t>
      </w:r>
      <w:r w:rsidR="000660DC">
        <w:rPr>
          <w:rFonts w:ascii="Times New Roman" w:hAnsi="Times New Roman" w:cs="Times New Roman"/>
          <w:sz w:val="24"/>
          <w:szCs w:val="24"/>
        </w:rPr>
        <w:t>a</w:t>
      </w:r>
      <w:r w:rsidR="003A7587">
        <w:rPr>
          <w:rFonts w:ascii="Times New Roman" w:hAnsi="Times New Roman" w:cs="Times New Roman"/>
          <w:sz w:val="24"/>
          <w:szCs w:val="24"/>
        </w:rPr>
        <w:t>) measure, the estimated coefficient is</w:t>
      </w:r>
      <w:r>
        <w:rPr>
          <w:rFonts w:ascii="Times New Roman" w:hAnsi="Times New Roman" w:cs="Times New Roman"/>
          <w:sz w:val="24"/>
          <w:szCs w:val="24"/>
        </w:rPr>
        <w:t xml:space="preserve"> statistically significant at better than one percent in the opposite directi</w:t>
      </w:r>
      <w:r w:rsidR="003A7587">
        <w:rPr>
          <w:rFonts w:ascii="Times New Roman" w:hAnsi="Times New Roman" w:cs="Times New Roman"/>
          <w:sz w:val="24"/>
          <w:szCs w:val="24"/>
        </w:rPr>
        <w:t>on of what theory would predict and the Blouin, Core, and Guay (20</w:t>
      </w:r>
      <w:r w:rsidR="00A66ED1">
        <w:rPr>
          <w:rFonts w:ascii="Times New Roman" w:hAnsi="Times New Roman" w:cs="Times New Roman"/>
          <w:sz w:val="24"/>
          <w:szCs w:val="24"/>
        </w:rPr>
        <w:t>10</w:t>
      </w:r>
      <w:r w:rsidR="00401776">
        <w:rPr>
          <w:rFonts w:ascii="Times New Roman" w:hAnsi="Times New Roman" w:cs="Times New Roman"/>
          <w:sz w:val="24"/>
          <w:szCs w:val="24"/>
        </w:rPr>
        <w:t>) measure is statistically significant at better than five percent in both the OLS and between regression specifications</w:t>
      </w:r>
      <w:r w:rsidR="003A7587">
        <w:rPr>
          <w:rFonts w:ascii="Times New Roman" w:hAnsi="Times New Roman" w:cs="Times New Roman"/>
          <w:sz w:val="24"/>
          <w:szCs w:val="24"/>
        </w:rPr>
        <w:t>.</w:t>
      </w:r>
    </w:p>
    <w:p w:rsidR="003A7587" w:rsidRDefault="003A7587" w:rsidP="007A418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Replacing those tax estimate measures with our weighted average tax variable, we find that firms confronting higher tax rates have significantly lower interest coverage ratios, consistent with theory.  When firms would have their income subject to a higher tax rate in the year it is earned, the firm appears to obligate more of those earnings to interest payments, thus a lower interest coverage ratio.  </w:t>
      </w:r>
      <w:r w:rsidR="00401776">
        <w:rPr>
          <w:rFonts w:ascii="Times New Roman" w:hAnsi="Times New Roman" w:cs="Times New Roman"/>
          <w:sz w:val="24"/>
          <w:szCs w:val="24"/>
        </w:rPr>
        <w:t xml:space="preserve">Statistically, our coefficient estimates are significant at better than ten percent in both regression specifications (OLS and between).  </w:t>
      </w:r>
      <w:r>
        <w:rPr>
          <w:rFonts w:ascii="Times New Roman" w:hAnsi="Times New Roman" w:cs="Times New Roman"/>
          <w:sz w:val="24"/>
          <w:szCs w:val="24"/>
        </w:rPr>
        <w:t>Economically, a ten percent reduction in the effective tax rate that the firm will confront, given the location and scale of its multinatio</w:t>
      </w:r>
      <w:r w:rsidR="00401776">
        <w:rPr>
          <w:rFonts w:ascii="Times New Roman" w:hAnsi="Times New Roman" w:cs="Times New Roman"/>
          <w:sz w:val="24"/>
          <w:szCs w:val="24"/>
        </w:rPr>
        <w:t>nal operations, corresponds to a four</w:t>
      </w:r>
      <w:r>
        <w:rPr>
          <w:rFonts w:ascii="Times New Roman" w:hAnsi="Times New Roman" w:cs="Times New Roman"/>
          <w:sz w:val="24"/>
          <w:szCs w:val="24"/>
        </w:rPr>
        <w:t>teen percent reduction in the firm’s interest coverage ratio</w:t>
      </w:r>
      <w:r w:rsidR="00401776">
        <w:rPr>
          <w:rFonts w:ascii="Times New Roman" w:hAnsi="Times New Roman" w:cs="Times New Roman"/>
          <w:sz w:val="24"/>
          <w:szCs w:val="24"/>
        </w:rPr>
        <w:t xml:space="preserve"> in the OLS specification, sixteen percent in the between specification</w:t>
      </w:r>
      <w:r>
        <w:rPr>
          <w:rFonts w:ascii="Times New Roman" w:hAnsi="Times New Roman" w:cs="Times New Roman"/>
          <w:sz w:val="24"/>
          <w:szCs w:val="24"/>
        </w:rPr>
        <w:t xml:space="preserve">.  Despite the mixed results of previous examinations, our results demonstrate that taxes have the first order </w:t>
      </w:r>
      <w:r w:rsidR="00401776">
        <w:rPr>
          <w:rFonts w:ascii="Times New Roman" w:hAnsi="Times New Roman" w:cs="Times New Roman"/>
          <w:sz w:val="24"/>
          <w:szCs w:val="24"/>
        </w:rPr>
        <w:t xml:space="preserve">relationship with </w:t>
      </w:r>
      <w:r>
        <w:rPr>
          <w:rFonts w:ascii="Times New Roman" w:hAnsi="Times New Roman" w:cs="Times New Roman"/>
          <w:sz w:val="24"/>
          <w:szCs w:val="24"/>
        </w:rPr>
        <w:t>leverage that theory suggests and that forms the basis of the tradeoff theory of capital structure.</w:t>
      </w:r>
    </w:p>
    <w:p w:rsidR="003A7587" w:rsidRDefault="003A7587" w:rsidP="003A7587">
      <w:pPr>
        <w:spacing w:line="480" w:lineRule="auto"/>
        <w:rPr>
          <w:rFonts w:ascii="Times New Roman" w:hAnsi="Times New Roman" w:cs="Times New Roman"/>
          <w:b/>
          <w:sz w:val="28"/>
          <w:szCs w:val="24"/>
        </w:rPr>
      </w:pPr>
      <w:r>
        <w:rPr>
          <w:rFonts w:ascii="Times New Roman" w:hAnsi="Times New Roman" w:cs="Times New Roman"/>
          <w:b/>
          <w:sz w:val="28"/>
          <w:szCs w:val="24"/>
        </w:rPr>
        <w:t>V. Conclusion and Further Work</w:t>
      </w:r>
    </w:p>
    <w:p w:rsidR="003A7587" w:rsidRDefault="003A7587" w:rsidP="007A418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01776">
        <w:rPr>
          <w:rFonts w:ascii="Times New Roman" w:hAnsi="Times New Roman" w:cs="Times New Roman"/>
          <w:sz w:val="24"/>
          <w:szCs w:val="24"/>
        </w:rPr>
        <w:t>O</w:t>
      </w:r>
      <w:r>
        <w:rPr>
          <w:rFonts w:ascii="Times New Roman" w:hAnsi="Times New Roman" w:cs="Times New Roman"/>
          <w:sz w:val="24"/>
          <w:szCs w:val="24"/>
        </w:rPr>
        <w:t>ur results indicate that variation in tax rates is an important consideration in explaining the cross-sectional variation we observe in leverage ratios.  Graham (1996</w:t>
      </w:r>
      <w:r w:rsidR="000660DC">
        <w:rPr>
          <w:rFonts w:ascii="Times New Roman" w:hAnsi="Times New Roman" w:cs="Times New Roman"/>
          <w:sz w:val="24"/>
          <w:szCs w:val="24"/>
        </w:rPr>
        <w:t>a</w:t>
      </w:r>
      <w:r>
        <w:rPr>
          <w:rFonts w:ascii="Times New Roman" w:hAnsi="Times New Roman" w:cs="Times New Roman"/>
          <w:sz w:val="24"/>
          <w:szCs w:val="24"/>
        </w:rPr>
        <w:t>) identified such effects during the sample period he examined which primarily consisted of the 1970s, 1980s, and early 1990s.  More recent research has had difficulty i</w:t>
      </w:r>
      <w:r w:rsidR="00606CEE">
        <w:rPr>
          <w:rFonts w:ascii="Times New Roman" w:hAnsi="Times New Roman" w:cs="Times New Roman"/>
          <w:sz w:val="24"/>
          <w:szCs w:val="24"/>
        </w:rPr>
        <w:t>n identifying that relationship</w:t>
      </w:r>
      <w:r w:rsidR="000660DC">
        <w:rPr>
          <w:rFonts w:ascii="Times New Roman" w:hAnsi="Times New Roman" w:cs="Times New Roman"/>
          <w:sz w:val="24"/>
          <w:szCs w:val="24"/>
        </w:rPr>
        <w:t>,</w:t>
      </w:r>
      <w:r w:rsidR="00606CEE">
        <w:rPr>
          <w:rFonts w:ascii="Times New Roman" w:hAnsi="Times New Roman" w:cs="Times New Roman"/>
          <w:sz w:val="24"/>
          <w:szCs w:val="24"/>
        </w:rPr>
        <w:t xml:space="preserve"> although Blouin, Core, and Guay (20</w:t>
      </w:r>
      <w:r w:rsidR="000660DC">
        <w:rPr>
          <w:rFonts w:ascii="Times New Roman" w:hAnsi="Times New Roman" w:cs="Times New Roman"/>
          <w:sz w:val="24"/>
          <w:szCs w:val="24"/>
        </w:rPr>
        <w:t>10</w:t>
      </w:r>
      <w:r w:rsidR="00606CEE">
        <w:rPr>
          <w:rFonts w:ascii="Times New Roman" w:hAnsi="Times New Roman" w:cs="Times New Roman"/>
          <w:sz w:val="24"/>
          <w:szCs w:val="24"/>
        </w:rPr>
        <w:t xml:space="preserve">)’s alternative estimation technique did identify such an effect for largely domestic firms.  As multinational firms have increased over time and more of their operations have been located overseas, </w:t>
      </w:r>
      <w:r w:rsidR="00401776">
        <w:rPr>
          <w:rFonts w:ascii="Times New Roman" w:hAnsi="Times New Roman" w:cs="Times New Roman"/>
          <w:sz w:val="24"/>
          <w:szCs w:val="24"/>
        </w:rPr>
        <w:t>understanding their leverage dynamics is an important pursuit for finance researchers.  T</w:t>
      </w:r>
      <w:r w:rsidR="00606CEE">
        <w:rPr>
          <w:rFonts w:ascii="Times New Roman" w:hAnsi="Times New Roman" w:cs="Times New Roman"/>
          <w:sz w:val="24"/>
          <w:szCs w:val="24"/>
        </w:rPr>
        <w:t xml:space="preserve">he variation in tax rates across countries and the ability of firms to defer the US tax consequences of those operations has led to tax effect estimates that differ from theory and from historical findings.  We contribute to our understanding of that </w:t>
      </w:r>
      <w:r w:rsidR="00606CEE">
        <w:rPr>
          <w:rFonts w:ascii="Times New Roman" w:hAnsi="Times New Roman" w:cs="Times New Roman"/>
          <w:sz w:val="24"/>
          <w:szCs w:val="24"/>
        </w:rPr>
        <w:lastRenderedPageBreak/>
        <w:t>inconsistency by employing proprietary data that enables a more accurate</w:t>
      </w:r>
      <w:r w:rsidR="000660DC">
        <w:rPr>
          <w:rFonts w:ascii="Times New Roman" w:hAnsi="Times New Roman" w:cs="Times New Roman"/>
          <w:sz w:val="24"/>
          <w:szCs w:val="24"/>
        </w:rPr>
        <w:t xml:space="preserve"> estimate</w:t>
      </w:r>
      <w:r w:rsidR="00606CEE">
        <w:rPr>
          <w:rFonts w:ascii="Times New Roman" w:hAnsi="Times New Roman" w:cs="Times New Roman"/>
          <w:sz w:val="24"/>
          <w:szCs w:val="24"/>
        </w:rPr>
        <w:t xml:space="preserve"> of the true tax rate confronting firms.  Our results sustain the theory and early findings that variation in tax rates are indeed of first order importance.</w:t>
      </w:r>
    </w:p>
    <w:p w:rsidR="00401776" w:rsidRDefault="00401776" w:rsidP="007A418F">
      <w:pPr>
        <w:spacing w:line="480" w:lineRule="auto"/>
        <w:jc w:val="both"/>
        <w:rPr>
          <w:rFonts w:ascii="Times New Roman" w:hAnsi="Times New Roman" w:cs="Times New Roman"/>
          <w:sz w:val="24"/>
          <w:szCs w:val="24"/>
        </w:rPr>
      </w:pPr>
      <w:r>
        <w:rPr>
          <w:rFonts w:ascii="Times New Roman" w:hAnsi="Times New Roman" w:cs="Times New Roman"/>
          <w:sz w:val="24"/>
          <w:szCs w:val="24"/>
        </w:rPr>
        <w:tab/>
        <w:t>Irrespective of whether we examine leverage ratios based on book values or market values, whether we include cash or not, or if we alternatively examine interest coverage, we find that multinational firms confronting lower tax rates use less debt.  The results are not only statistically significant, but the coefficient magnitudes suggest that these effects are first order; the changes in leverage associated with reasonable moves in estimated tax rates are of magnitudes similar to other well-documented factors explaining variation in corporate debt usage.  Also, consistent with the notion that the variation in tax rates firms confront does not vary greatly over time and instead primarily varies across firms, our results are stronger when we solely focus on the cross-sectional variation in our data set (employing between regression specifications) instead of allowing both time-series and cross-sectional variation (the OLS specifications).</w:t>
      </w:r>
    </w:p>
    <w:p w:rsidR="00606CEE" w:rsidRDefault="00606CEE" w:rsidP="00C42B26">
      <w:pPr>
        <w:spacing w:line="480" w:lineRule="auto"/>
        <w:jc w:val="both"/>
        <w:rPr>
          <w:rFonts w:ascii="Times New Roman" w:hAnsi="Times New Roman" w:cs="Times New Roman"/>
          <w:b/>
          <w:sz w:val="28"/>
          <w:szCs w:val="24"/>
        </w:rPr>
      </w:pPr>
      <w:r>
        <w:rPr>
          <w:rFonts w:ascii="Times New Roman" w:hAnsi="Times New Roman" w:cs="Times New Roman"/>
          <w:sz w:val="24"/>
          <w:szCs w:val="24"/>
        </w:rPr>
        <w:tab/>
        <w:t>This paper is still in a very early stage and much work remains.  Our task list includes locating tax rate data that will allow us to expand the time period of our sample to the early 2000s and the 1990s.  In addition to refining our coefficient estimates, a longer time series of our panel will allow us to estimate how much of the statistical contribution arising from firm fixed effects might be explained by the largely firm-specific, time-invariant nature of where firm’s foreign operations are located and the largely static nature of the tax codes in those countries.  We believe that our work has the potential to explain a significant portion of the fixed effects puzzle documented by Lemmon, Roberts, and Zender (2009).</w:t>
      </w:r>
      <w:r>
        <w:rPr>
          <w:rFonts w:ascii="Times New Roman" w:hAnsi="Times New Roman" w:cs="Times New Roman"/>
          <w:b/>
          <w:sz w:val="28"/>
          <w:szCs w:val="24"/>
        </w:rPr>
        <w:br w:type="page"/>
      </w:r>
    </w:p>
    <w:p w:rsidR="00575FD3" w:rsidRDefault="00575FD3" w:rsidP="00575FD3">
      <w:pPr>
        <w:spacing w:line="480" w:lineRule="auto"/>
        <w:rPr>
          <w:rFonts w:ascii="Times New Roman" w:hAnsi="Times New Roman" w:cs="Times New Roman"/>
          <w:b/>
          <w:sz w:val="28"/>
          <w:szCs w:val="24"/>
        </w:rPr>
      </w:pPr>
      <w:r w:rsidRPr="00575FD3">
        <w:rPr>
          <w:rFonts w:ascii="Times New Roman" w:hAnsi="Times New Roman" w:cs="Times New Roman"/>
          <w:b/>
          <w:sz w:val="28"/>
          <w:szCs w:val="24"/>
        </w:rPr>
        <w:lastRenderedPageBreak/>
        <w:t>References:</w:t>
      </w:r>
    </w:p>
    <w:p w:rsidR="00575FD3" w:rsidRPr="00724A7A"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 xml:space="preserve">Antras, Pol, Mihir Desai, and C. Fritz Foley, 2009, Multinational firms, </w:t>
      </w:r>
      <w:r w:rsidR="00386F5A">
        <w:rPr>
          <w:rFonts w:ascii="Times New Roman" w:hAnsi="Times New Roman" w:cs="Times New Roman"/>
          <w:sz w:val="24"/>
        </w:rPr>
        <w:t xml:space="preserve">fdi flows and imperfect capital </w:t>
      </w:r>
      <w:r w:rsidRPr="00724A7A">
        <w:rPr>
          <w:rFonts w:ascii="Times New Roman" w:hAnsi="Times New Roman" w:cs="Times New Roman"/>
          <w:sz w:val="24"/>
        </w:rPr>
        <w:t xml:space="preserve">markets., </w:t>
      </w:r>
      <w:r w:rsidRPr="00724A7A">
        <w:rPr>
          <w:rFonts w:ascii="Times New Roman" w:hAnsi="Times New Roman" w:cs="Times New Roman"/>
          <w:i/>
          <w:sz w:val="24"/>
        </w:rPr>
        <w:t>Quarterly Journal of Economics</w:t>
      </w:r>
      <w:r w:rsidRPr="00724A7A">
        <w:rPr>
          <w:rFonts w:ascii="Times New Roman" w:hAnsi="Times New Roman" w:cs="Times New Roman"/>
          <w:sz w:val="24"/>
        </w:rPr>
        <w:t xml:space="preserve"> 124, 1171–1219.</w:t>
      </w:r>
    </w:p>
    <w:p w:rsidR="00575FD3" w:rsidRPr="00724A7A"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 xml:space="preserve">Blouin, Jennifer, John Core, and Wayne Guay, 2010, Have the tax benefits of debt been overestimated?, </w:t>
      </w:r>
      <w:r w:rsidRPr="00724A7A">
        <w:rPr>
          <w:rFonts w:ascii="Times New Roman" w:hAnsi="Times New Roman" w:cs="Times New Roman"/>
          <w:i/>
          <w:sz w:val="24"/>
        </w:rPr>
        <w:t>Journal of Financial Economics</w:t>
      </w:r>
      <w:r w:rsidRPr="00724A7A">
        <w:rPr>
          <w:rFonts w:ascii="Times New Roman" w:hAnsi="Times New Roman" w:cs="Times New Roman"/>
          <w:sz w:val="24"/>
        </w:rPr>
        <w:t xml:space="preserve"> 98, 195–213.</w:t>
      </w:r>
    </w:p>
    <w:p w:rsidR="00575FD3" w:rsidRPr="00724A7A" w:rsidRDefault="000008EC" w:rsidP="006C69D3">
      <w:pPr>
        <w:ind w:left="720" w:hanging="720"/>
        <w:rPr>
          <w:rFonts w:ascii="Times New Roman" w:hAnsi="Times New Roman" w:cs="Times New Roman"/>
          <w:sz w:val="24"/>
        </w:rPr>
      </w:pPr>
      <w:r w:rsidRPr="00724A7A">
        <w:rPr>
          <w:rFonts w:ascii="Times New Roman" w:hAnsi="Times New Roman" w:cs="Times New Roman"/>
          <w:sz w:val="24"/>
        </w:rPr>
        <w:t>Desai, Mihir A., C. Fritz Foley, and Krist</w:t>
      </w:r>
      <w:r>
        <w:rPr>
          <w:rFonts w:ascii="Times New Roman" w:hAnsi="Times New Roman" w:cs="Times New Roman"/>
          <w:sz w:val="24"/>
        </w:rPr>
        <w:t>in Forbes, 2008, Financial con</w:t>
      </w:r>
      <w:r w:rsidRPr="00724A7A">
        <w:rPr>
          <w:rFonts w:ascii="Times New Roman" w:hAnsi="Times New Roman" w:cs="Times New Roman"/>
          <w:sz w:val="24"/>
        </w:rPr>
        <w:t xml:space="preserve">straints and growth: Multinational and local firm response to currency crises., </w:t>
      </w:r>
      <w:r w:rsidRPr="00724A7A">
        <w:rPr>
          <w:rFonts w:ascii="Times New Roman" w:hAnsi="Times New Roman" w:cs="Times New Roman"/>
          <w:i/>
          <w:sz w:val="24"/>
        </w:rPr>
        <w:t>Review of Financial Studies</w:t>
      </w:r>
      <w:r w:rsidRPr="00724A7A">
        <w:rPr>
          <w:rFonts w:ascii="Times New Roman" w:hAnsi="Times New Roman" w:cs="Times New Roman"/>
          <w:sz w:val="24"/>
        </w:rPr>
        <w:t xml:space="preserve"> 21, 2857–2888.</w:t>
      </w:r>
    </w:p>
    <w:p w:rsidR="00575FD3" w:rsidRPr="00724A7A"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 xml:space="preserve">Desai, Mihir A., C. Fritz Foley, and James R. Hines Jr., 2011, Tax </w:t>
      </w:r>
      <w:r w:rsidR="00516FD7" w:rsidRPr="00724A7A">
        <w:rPr>
          <w:rFonts w:ascii="Times New Roman" w:hAnsi="Times New Roman" w:cs="Times New Roman"/>
          <w:sz w:val="24"/>
        </w:rPr>
        <w:t>policy and the efficiency of U.S</w:t>
      </w:r>
      <w:r w:rsidRPr="00724A7A">
        <w:rPr>
          <w:rFonts w:ascii="Times New Roman" w:hAnsi="Times New Roman" w:cs="Times New Roman"/>
          <w:sz w:val="24"/>
        </w:rPr>
        <w:t xml:space="preserve">. direct investment abroad, </w:t>
      </w:r>
      <w:r w:rsidRPr="00724A7A">
        <w:rPr>
          <w:rFonts w:ascii="Times New Roman" w:hAnsi="Times New Roman" w:cs="Times New Roman"/>
          <w:i/>
          <w:sz w:val="24"/>
        </w:rPr>
        <w:t>National Tax Journal</w:t>
      </w:r>
      <w:r w:rsidRPr="00724A7A">
        <w:rPr>
          <w:rFonts w:ascii="Times New Roman" w:hAnsi="Times New Roman" w:cs="Times New Roman"/>
          <w:sz w:val="24"/>
        </w:rPr>
        <w:t xml:space="preserve"> 64, 1055–1082.</w:t>
      </w:r>
    </w:p>
    <w:p w:rsidR="00575FD3" w:rsidRPr="00724A7A"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 xml:space="preserve">Faulkender, Michael, Mark J. Flannery, Kristine W. Hankins, and Jason M. Smith, 2012, Cash flows and leverage adjustments, </w:t>
      </w:r>
      <w:r w:rsidRPr="00724A7A">
        <w:rPr>
          <w:rFonts w:ascii="Times New Roman" w:hAnsi="Times New Roman" w:cs="Times New Roman"/>
          <w:i/>
          <w:sz w:val="24"/>
        </w:rPr>
        <w:t>Journal of Financial Economics</w:t>
      </w:r>
      <w:r w:rsidRPr="00724A7A">
        <w:rPr>
          <w:rFonts w:ascii="Times New Roman" w:hAnsi="Times New Roman" w:cs="Times New Roman"/>
          <w:sz w:val="24"/>
        </w:rPr>
        <w:t xml:space="preserve"> 103, 632–646.</w:t>
      </w:r>
    </w:p>
    <w:p w:rsidR="00575FD3" w:rsidRPr="00724A7A"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Faulkender, M., and M</w:t>
      </w:r>
      <w:r w:rsidR="00C42B26">
        <w:rPr>
          <w:rFonts w:ascii="Times New Roman" w:hAnsi="Times New Roman" w:cs="Times New Roman"/>
          <w:sz w:val="24"/>
        </w:rPr>
        <w:t>itchell</w:t>
      </w:r>
      <w:r w:rsidRPr="00724A7A">
        <w:rPr>
          <w:rFonts w:ascii="Times New Roman" w:hAnsi="Times New Roman" w:cs="Times New Roman"/>
          <w:sz w:val="24"/>
        </w:rPr>
        <w:t xml:space="preserve"> Petersen, 2006, Does the source of capital affect capital structure?, </w:t>
      </w:r>
      <w:r w:rsidRPr="00724A7A">
        <w:rPr>
          <w:rFonts w:ascii="Times New Roman" w:hAnsi="Times New Roman" w:cs="Times New Roman"/>
          <w:i/>
          <w:sz w:val="24"/>
        </w:rPr>
        <w:t>Review of Financial Studies</w:t>
      </w:r>
      <w:r w:rsidRPr="00724A7A">
        <w:rPr>
          <w:rFonts w:ascii="Times New Roman" w:hAnsi="Times New Roman" w:cs="Times New Roman"/>
          <w:sz w:val="24"/>
        </w:rPr>
        <w:t xml:space="preserve"> 19, 45–79.</w:t>
      </w:r>
    </w:p>
    <w:p w:rsidR="00575FD3" w:rsidRPr="00724A7A"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 xml:space="preserve">Faulkender, Michael, and Mitchell Petersen, </w:t>
      </w:r>
      <w:r w:rsidR="00832C44">
        <w:rPr>
          <w:rFonts w:ascii="Times New Roman" w:hAnsi="Times New Roman" w:cs="Times New Roman"/>
          <w:sz w:val="24"/>
        </w:rPr>
        <w:t>2012</w:t>
      </w:r>
      <w:r w:rsidRPr="00724A7A">
        <w:rPr>
          <w:rFonts w:ascii="Times New Roman" w:hAnsi="Times New Roman" w:cs="Times New Roman"/>
          <w:sz w:val="24"/>
        </w:rPr>
        <w:t xml:space="preserve">, Investment and capital constraints: Repatriations under the </w:t>
      </w:r>
      <w:r w:rsidR="000008EC" w:rsidRPr="00724A7A">
        <w:rPr>
          <w:rFonts w:ascii="Times New Roman" w:hAnsi="Times New Roman" w:cs="Times New Roman"/>
          <w:sz w:val="24"/>
        </w:rPr>
        <w:t>American</w:t>
      </w:r>
      <w:r w:rsidRPr="00724A7A">
        <w:rPr>
          <w:rFonts w:ascii="Times New Roman" w:hAnsi="Times New Roman" w:cs="Times New Roman"/>
          <w:sz w:val="24"/>
        </w:rPr>
        <w:t xml:space="preserve"> jobs creation act, </w:t>
      </w:r>
      <w:r w:rsidRPr="00724A7A">
        <w:rPr>
          <w:rFonts w:ascii="Times New Roman" w:hAnsi="Times New Roman" w:cs="Times New Roman"/>
          <w:i/>
          <w:sz w:val="24"/>
        </w:rPr>
        <w:t>Review of Financial Studies</w:t>
      </w:r>
      <w:r w:rsidR="00832C44">
        <w:rPr>
          <w:rFonts w:ascii="Times New Roman" w:hAnsi="Times New Roman" w:cs="Times New Roman"/>
          <w:sz w:val="24"/>
        </w:rPr>
        <w:t xml:space="preserve"> 25, </w:t>
      </w:r>
      <w:r w:rsidR="00C42B26">
        <w:rPr>
          <w:rFonts w:ascii="Times New Roman" w:hAnsi="Times New Roman" w:cs="Times New Roman"/>
          <w:sz w:val="24"/>
        </w:rPr>
        <w:t>3351-3388</w:t>
      </w:r>
      <w:r w:rsidR="00832C44">
        <w:rPr>
          <w:rFonts w:ascii="Times New Roman" w:hAnsi="Times New Roman" w:cs="Times New Roman"/>
          <w:sz w:val="24"/>
        </w:rPr>
        <w:t>.</w:t>
      </w:r>
      <w:r w:rsidR="00C42B26">
        <w:rPr>
          <w:rFonts w:ascii="Times New Roman" w:hAnsi="Times New Roman" w:cs="Times New Roman"/>
          <w:sz w:val="24"/>
        </w:rPr>
        <w:t xml:space="preserve"> </w:t>
      </w:r>
    </w:p>
    <w:p w:rsidR="00575FD3" w:rsidRPr="00724A7A"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Flannery, Mark, and Kasturi Rangan, 2006, Partial adjustment toward target capital structures, Journal of Financial Economics 79, 469–506.</w:t>
      </w:r>
    </w:p>
    <w:p w:rsidR="00575FD3" w:rsidRPr="00724A7A"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 xml:space="preserve">Foley, C. Fritz, Jay Hartzell, Sheridan Titman, and Garry Twite, 2007, Why do firms hold so much cash?, </w:t>
      </w:r>
      <w:r w:rsidRPr="00724A7A">
        <w:rPr>
          <w:rFonts w:ascii="Times New Roman" w:hAnsi="Times New Roman" w:cs="Times New Roman"/>
          <w:i/>
          <w:sz w:val="24"/>
        </w:rPr>
        <w:t>Journal of Financial Economics</w:t>
      </w:r>
      <w:r w:rsidRPr="00724A7A">
        <w:rPr>
          <w:rFonts w:ascii="Times New Roman" w:hAnsi="Times New Roman" w:cs="Times New Roman"/>
          <w:sz w:val="24"/>
        </w:rPr>
        <w:t xml:space="preserve"> 86, 579–607.</w:t>
      </w:r>
    </w:p>
    <w:p w:rsidR="00575FD3" w:rsidRPr="00724A7A"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 xml:space="preserve">Frank, Murray, and Vidhan Goyal, 2009, Capital structure decisions: Which factors are reliably important?, </w:t>
      </w:r>
      <w:r w:rsidRPr="00724A7A">
        <w:rPr>
          <w:rFonts w:ascii="Times New Roman" w:hAnsi="Times New Roman" w:cs="Times New Roman"/>
          <w:i/>
          <w:sz w:val="24"/>
        </w:rPr>
        <w:t>Financial Management</w:t>
      </w:r>
      <w:r w:rsidRPr="00724A7A">
        <w:rPr>
          <w:rFonts w:ascii="Times New Roman" w:hAnsi="Times New Roman" w:cs="Times New Roman"/>
          <w:sz w:val="24"/>
        </w:rPr>
        <w:t xml:space="preserve"> 38, 1–37.</w:t>
      </w:r>
    </w:p>
    <w:p w:rsidR="00575FD3" w:rsidRPr="00724A7A"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Graham, John R., 1996a, Debt and the marginal tax rate,</w:t>
      </w:r>
      <w:r w:rsidRPr="00724A7A">
        <w:rPr>
          <w:rFonts w:ascii="Times New Roman" w:hAnsi="Times New Roman" w:cs="Times New Roman"/>
          <w:i/>
          <w:sz w:val="24"/>
        </w:rPr>
        <w:t xml:space="preserve"> Journal of Financial Economics</w:t>
      </w:r>
      <w:r w:rsidRPr="00724A7A">
        <w:rPr>
          <w:rFonts w:ascii="Times New Roman" w:hAnsi="Times New Roman" w:cs="Times New Roman"/>
          <w:sz w:val="24"/>
        </w:rPr>
        <w:t xml:space="preserve"> 41,  41–73.</w:t>
      </w:r>
    </w:p>
    <w:p w:rsidR="00575FD3" w:rsidRDefault="00516FD7" w:rsidP="006C69D3">
      <w:pPr>
        <w:ind w:left="720" w:hanging="720"/>
        <w:rPr>
          <w:rFonts w:ascii="Times New Roman" w:hAnsi="Times New Roman" w:cs="Times New Roman"/>
          <w:sz w:val="24"/>
        </w:rPr>
      </w:pPr>
      <w:r w:rsidRPr="00724A7A">
        <w:rPr>
          <w:rFonts w:ascii="Times New Roman" w:hAnsi="Times New Roman" w:cs="Times New Roman"/>
          <w:sz w:val="24"/>
        </w:rPr>
        <w:t>Graham, John R.</w:t>
      </w:r>
      <w:r w:rsidR="00575FD3" w:rsidRPr="00724A7A">
        <w:rPr>
          <w:rFonts w:ascii="Times New Roman" w:hAnsi="Times New Roman" w:cs="Times New Roman"/>
          <w:sz w:val="24"/>
        </w:rPr>
        <w:t xml:space="preserve">, 1996b, Proxies for the corporate marginal tax rate, </w:t>
      </w:r>
      <w:r w:rsidR="00575FD3" w:rsidRPr="00724A7A">
        <w:rPr>
          <w:rFonts w:ascii="Times New Roman" w:hAnsi="Times New Roman" w:cs="Times New Roman"/>
          <w:i/>
          <w:sz w:val="24"/>
        </w:rPr>
        <w:t>Journal of Financial Economics</w:t>
      </w:r>
      <w:r w:rsidR="00575FD3" w:rsidRPr="00724A7A">
        <w:rPr>
          <w:rFonts w:ascii="Times New Roman" w:hAnsi="Times New Roman" w:cs="Times New Roman"/>
          <w:sz w:val="24"/>
        </w:rPr>
        <w:t xml:space="preserve"> 42, 187–221.</w:t>
      </w:r>
    </w:p>
    <w:p w:rsidR="00575FD3" w:rsidRDefault="00516FD7" w:rsidP="006C69D3">
      <w:pPr>
        <w:ind w:left="720" w:hanging="720"/>
        <w:rPr>
          <w:rFonts w:ascii="Times New Roman" w:hAnsi="Times New Roman" w:cs="Times New Roman"/>
          <w:sz w:val="24"/>
        </w:rPr>
      </w:pPr>
      <w:r w:rsidRPr="00724A7A">
        <w:rPr>
          <w:rFonts w:ascii="Times New Roman" w:hAnsi="Times New Roman" w:cs="Times New Roman"/>
          <w:sz w:val="24"/>
        </w:rPr>
        <w:t>Graham, John R.</w:t>
      </w:r>
      <w:r w:rsidR="00575FD3" w:rsidRPr="00724A7A">
        <w:rPr>
          <w:rFonts w:ascii="Times New Roman" w:hAnsi="Times New Roman" w:cs="Times New Roman"/>
          <w:sz w:val="24"/>
        </w:rPr>
        <w:t xml:space="preserve">, and Mark T. Leary, 2011, A review of capital structure research and directions for the future, Annual </w:t>
      </w:r>
      <w:r w:rsidR="00575FD3" w:rsidRPr="00724A7A">
        <w:rPr>
          <w:rFonts w:ascii="Times New Roman" w:hAnsi="Times New Roman" w:cs="Times New Roman"/>
          <w:i/>
          <w:sz w:val="24"/>
        </w:rPr>
        <w:t>Review of Financial Economics</w:t>
      </w:r>
      <w:r w:rsidR="00575FD3" w:rsidRPr="00724A7A">
        <w:rPr>
          <w:rFonts w:ascii="Times New Roman" w:hAnsi="Times New Roman" w:cs="Times New Roman"/>
          <w:sz w:val="24"/>
        </w:rPr>
        <w:t xml:space="preserve"> 3, 309–345.</w:t>
      </w:r>
    </w:p>
    <w:p w:rsidR="00054906" w:rsidRDefault="00054906" w:rsidP="00C42B26">
      <w:pPr>
        <w:pStyle w:val="NormalWeb"/>
        <w:spacing w:before="0" w:beforeAutospacing="0" w:after="150" w:afterAutospacing="0"/>
        <w:ind w:left="540" w:hanging="540"/>
      </w:pPr>
      <w:r w:rsidRPr="00054906">
        <w:lastRenderedPageBreak/>
        <w:t xml:space="preserve">KPMG International, 2013, Corporate and Indirect Tax Survey 2012, </w:t>
      </w:r>
      <w:r w:rsidR="00C42B26" w:rsidRPr="00C42B26">
        <w:t xml:space="preserve">http://www.kpmg.com/global/en/issuesandinsights/articlespublications/pages/corporate-indirect-tax-rate-survey.aspx </w:t>
      </w:r>
      <w:r w:rsidR="00C42B26">
        <w:t xml:space="preserve">  </w:t>
      </w:r>
      <w:r w:rsidRPr="00054906">
        <w:t>Nov. 2013.</w:t>
      </w:r>
    </w:p>
    <w:p w:rsidR="00575FD3" w:rsidRPr="00724A7A"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 xml:space="preserve">Leary, Mark, and Michael R. Roberts, 2005, Do firms rebalance their capital structures?, </w:t>
      </w:r>
      <w:r w:rsidRPr="00724A7A">
        <w:rPr>
          <w:rFonts w:ascii="Times New Roman" w:hAnsi="Times New Roman" w:cs="Times New Roman"/>
          <w:i/>
          <w:sz w:val="24"/>
        </w:rPr>
        <w:t>Journal of Finance</w:t>
      </w:r>
      <w:r w:rsidRPr="00724A7A">
        <w:rPr>
          <w:rFonts w:ascii="Times New Roman" w:hAnsi="Times New Roman" w:cs="Times New Roman"/>
          <w:sz w:val="24"/>
        </w:rPr>
        <w:t xml:space="preserve"> 60, 2575–2619.</w:t>
      </w:r>
    </w:p>
    <w:p w:rsidR="00575FD3"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 xml:space="preserve">Lemmon, Michael, Michael Roberts, and Jamie Zender, 2008, Back to the beginning: Persistence and the cross-section of corporate capital structure, </w:t>
      </w:r>
      <w:r w:rsidRPr="00724A7A">
        <w:rPr>
          <w:rFonts w:ascii="Times New Roman" w:hAnsi="Times New Roman" w:cs="Times New Roman"/>
          <w:i/>
          <w:sz w:val="24"/>
        </w:rPr>
        <w:t>Journal of Finance</w:t>
      </w:r>
      <w:r w:rsidRPr="00724A7A">
        <w:rPr>
          <w:rFonts w:ascii="Times New Roman" w:hAnsi="Times New Roman" w:cs="Times New Roman"/>
          <w:sz w:val="24"/>
        </w:rPr>
        <w:t xml:space="preserve"> 60, 2575–2619.</w:t>
      </w:r>
    </w:p>
    <w:p w:rsidR="005549F3" w:rsidRPr="00724A7A" w:rsidRDefault="005549F3" w:rsidP="006C69D3">
      <w:pPr>
        <w:ind w:left="720" w:hanging="720"/>
        <w:rPr>
          <w:rFonts w:ascii="Times New Roman" w:hAnsi="Times New Roman" w:cs="Times New Roman"/>
          <w:sz w:val="24"/>
        </w:rPr>
      </w:pPr>
      <w:r>
        <w:rPr>
          <w:rFonts w:ascii="Times New Roman" w:hAnsi="Times New Roman" w:cs="Times New Roman"/>
          <w:sz w:val="24"/>
        </w:rPr>
        <w:t>McCoy, Kevin, 2013, Apple CEO defends tax tactics at Senate hearing, USA Today, 26 May 2013.</w:t>
      </w:r>
    </w:p>
    <w:p w:rsidR="00575FD3" w:rsidRPr="00724A7A"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Myers, S.C., and N. Majluf, 1984, Corporate finan</w:t>
      </w:r>
      <w:r w:rsidR="00516FD7" w:rsidRPr="00724A7A">
        <w:rPr>
          <w:rFonts w:ascii="Times New Roman" w:hAnsi="Times New Roman" w:cs="Times New Roman"/>
          <w:sz w:val="24"/>
        </w:rPr>
        <w:t>cing and investment deci</w:t>
      </w:r>
      <w:r w:rsidRPr="00724A7A">
        <w:rPr>
          <w:rFonts w:ascii="Times New Roman" w:hAnsi="Times New Roman" w:cs="Times New Roman"/>
          <w:sz w:val="24"/>
        </w:rPr>
        <w:t xml:space="preserve">sions when firms have information that investors do not have, </w:t>
      </w:r>
      <w:r w:rsidRPr="00724A7A">
        <w:rPr>
          <w:rFonts w:ascii="Times New Roman" w:hAnsi="Times New Roman" w:cs="Times New Roman"/>
          <w:i/>
          <w:sz w:val="24"/>
        </w:rPr>
        <w:t>Journal of Financial Economics</w:t>
      </w:r>
      <w:r w:rsidRPr="00724A7A">
        <w:rPr>
          <w:rFonts w:ascii="Times New Roman" w:hAnsi="Times New Roman" w:cs="Times New Roman"/>
          <w:sz w:val="24"/>
        </w:rPr>
        <w:t xml:space="preserve"> 13, 187–224.</w:t>
      </w:r>
    </w:p>
    <w:p w:rsidR="00575FD3" w:rsidRPr="00724A7A" w:rsidRDefault="00575FD3" w:rsidP="006C69D3">
      <w:pPr>
        <w:ind w:left="720" w:hanging="720"/>
        <w:rPr>
          <w:rFonts w:ascii="Times New Roman" w:hAnsi="Times New Roman" w:cs="Times New Roman"/>
          <w:sz w:val="24"/>
        </w:rPr>
      </w:pPr>
      <w:r w:rsidRPr="00724A7A">
        <w:rPr>
          <w:rFonts w:ascii="Times New Roman" w:hAnsi="Times New Roman" w:cs="Times New Roman"/>
          <w:sz w:val="24"/>
        </w:rPr>
        <w:t xml:space="preserve">Welch, I., 2004, Capital structure and stock returns, </w:t>
      </w:r>
      <w:r w:rsidRPr="00724A7A">
        <w:rPr>
          <w:rFonts w:ascii="Times New Roman" w:hAnsi="Times New Roman" w:cs="Times New Roman"/>
          <w:i/>
          <w:sz w:val="24"/>
        </w:rPr>
        <w:t>Journal of Political Economy</w:t>
      </w:r>
      <w:r w:rsidRPr="00724A7A">
        <w:rPr>
          <w:rFonts w:ascii="Times New Roman" w:hAnsi="Times New Roman" w:cs="Times New Roman"/>
          <w:sz w:val="24"/>
        </w:rPr>
        <w:t xml:space="preserve"> pp. 106–131.</w:t>
      </w:r>
    </w:p>
    <w:p w:rsidR="00575FD3" w:rsidRPr="00575FD3" w:rsidRDefault="00575FD3" w:rsidP="00575FD3">
      <w:pPr>
        <w:spacing w:line="240" w:lineRule="auto"/>
        <w:rPr>
          <w:rFonts w:ascii="Times New Roman" w:eastAsia="Calibri" w:hAnsi="Times New Roman" w:cs="Times New Roman"/>
          <w:sz w:val="28"/>
          <w:szCs w:val="24"/>
        </w:rPr>
      </w:pPr>
    </w:p>
    <w:p w:rsidR="00575FD3" w:rsidRDefault="00575FD3" w:rsidP="0022460F">
      <w:pPr>
        <w:spacing w:line="480" w:lineRule="auto"/>
        <w:rPr>
          <w:rFonts w:ascii="Times New Roman" w:hAnsi="Times New Roman" w:cs="Times New Roman"/>
          <w:b/>
          <w:sz w:val="28"/>
          <w:szCs w:val="24"/>
        </w:rPr>
      </w:pPr>
    </w:p>
    <w:p w:rsidR="008136EA" w:rsidRDefault="008136EA" w:rsidP="0022460F">
      <w:pPr>
        <w:spacing w:line="480" w:lineRule="auto"/>
        <w:rPr>
          <w:rFonts w:ascii="Times New Roman" w:hAnsi="Times New Roman" w:cs="Times New Roman"/>
          <w:b/>
          <w:sz w:val="28"/>
          <w:szCs w:val="24"/>
        </w:rPr>
      </w:pPr>
    </w:p>
    <w:p w:rsidR="008136EA" w:rsidRDefault="008136EA" w:rsidP="0022460F">
      <w:pPr>
        <w:spacing w:line="480" w:lineRule="auto"/>
        <w:rPr>
          <w:rFonts w:ascii="Times New Roman" w:hAnsi="Times New Roman" w:cs="Times New Roman"/>
          <w:b/>
          <w:sz w:val="28"/>
          <w:szCs w:val="24"/>
        </w:rPr>
      </w:pPr>
    </w:p>
    <w:p w:rsidR="00AC134E" w:rsidRDefault="00AC134E" w:rsidP="0022460F">
      <w:pPr>
        <w:spacing w:line="480" w:lineRule="auto"/>
        <w:rPr>
          <w:rFonts w:ascii="Times New Roman" w:hAnsi="Times New Roman" w:cs="Times New Roman"/>
          <w:b/>
          <w:sz w:val="28"/>
          <w:szCs w:val="24"/>
        </w:rPr>
        <w:sectPr w:rsidR="00AC134E" w:rsidSect="00AC134E">
          <w:pgSz w:w="12240" w:h="15840"/>
          <w:pgMar w:top="1440" w:right="1440" w:bottom="1440" w:left="1440" w:header="720" w:footer="720" w:gutter="0"/>
          <w:cols w:space="720"/>
          <w:docGrid w:linePitch="360"/>
        </w:sectPr>
      </w:pPr>
    </w:p>
    <w:p w:rsidR="008136EA" w:rsidRDefault="008136EA" w:rsidP="00EA0C9E">
      <w:pPr>
        <w:pStyle w:val="NoSpacing"/>
      </w:pPr>
    </w:p>
    <w:p w:rsidR="00575FD3" w:rsidRDefault="00575FD3" w:rsidP="00EA0C9E">
      <w:pPr>
        <w:pStyle w:val="NoSpacing"/>
      </w:pPr>
    </w:p>
    <w:tbl>
      <w:tblPr>
        <w:tblW w:w="11633" w:type="dxa"/>
        <w:tblInd w:w="93" w:type="dxa"/>
        <w:tblLook w:val="04A0" w:firstRow="1" w:lastRow="0" w:firstColumn="1" w:lastColumn="0" w:noHBand="0" w:noVBand="1"/>
      </w:tblPr>
      <w:tblGrid>
        <w:gridCol w:w="1483"/>
        <w:gridCol w:w="962"/>
        <w:gridCol w:w="966"/>
        <w:gridCol w:w="236"/>
        <w:gridCol w:w="1016"/>
        <w:gridCol w:w="300"/>
        <w:gridCol w:w="992"/>
        <w:gridCol w:w="966"/>
        <w:gridCol w:w="250"/>
        <w:gridCol w:w="1016"/>
        <w:gridCol w:w="300"/>
        <w:gridCol w:w="1068"/>
        <w:gridCol w:w="866"/>
        <w:gridCol w:w="246"/>
        <w:gridCol w:w="966"/>
      </w:tblGrid>
      <w:tr w:rsidR="00F91B8D" w:rsidRPr="00AC134E" w:rsidTr="008F5F9F">
        <w:trPr>
          <w:trHeight w:hRule="exact" w:val="259"/>
        </w:trPr>
        <w:tc>
          <w:tcPr>
            <w:tcW w:w="1483" w:type="dxa"/>
            <w:tcBorders>
              <w:top w:val="nil"/>
              <w:left w:val="nil"/>
              <w:bottom w:val="nil"/>
              <w:right w:val="nil"/>
            </w:tcBorders>
            <w:shd w:val="clear" w:color="auto" w:fill="auto"/>
            <w:noWrap/>
            <w:vAlign w:val="bottom"/>
          </w:tcPr>
          <w:p w:rsidR="00F91B8D" w:rsidRPr="00F91B8D" w:rsidRDefault="00F91B8D" w:rsidP="00F91B8D">
            <w:pPr>
              <w:rPr>
                <w:rFonts w:ascii="Times New Roman" w:hAnsi="Times New Roman" w:cs="Times New Roman"/>
                <w:b/>
                <w:sz w:val="20"/>
                <w:szCs w:val="20"/>
              </w:rPr>
            </w:pPr>
            <w:r>
              <w:rPr>
                <w:rFonts w:ascii="Times New Roman" w:hAnsi="Times New Roman" w:cs="Times New Roman"/>
                <w:b/>
                <w:sz w:val="20"/>
                <w:szCs w:val="20"/>
              </w:rPr>
              <w:t>Table 1</w:t>
            </w:r>
          </w:p>
        </w:tc>
        <w:tc>
          <w:tcPr>
            <w:tcW w:w="3180" w:type="dxa"/>
            <w:gridSpan w:val="4"/>
            <w:tcBorders>
              <w:top w:val="nil"/>
              <w:left w:val="nil"/>
              <w:right w:val="nil"/>
            </w:tcBorders>
            <w:shd w:val="clear" w:color="auto" w:fill="auto"/>
            <w:noWrap/>
            <w:vAlign w:val="bottom"/>
          </w:tcPr>
          <w:p w:rsidR="00F91B8D" w:rsidRPr="00AC134E" w:rsidRDefault="00F91B8D" w:rsidP="00AC134E">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tcPr>
          <w:p w:rsidR="00F91B8D" w:rsidRPr="00AC134E" w:rsidRDefault="00F91B8D" w:rsidP="00AC134E">
            <w:pPr>
              <w:spacing w:after="0" w:line="240" w:lineRule="auto"/>
              <w:jc w:val="center"/>
              <w:rPr>
                <w:rFonts w:ascii="Times New Roman" w:eastAsia="Times New Roman" w:hAnsi="Times New Roman" w:cs="Times New Roman"/>
                <w:sz w:val="20"/>
                <w:szCs w:val="20"/>
              </w:rPr>
            </w:pPr>
          </w:p>
        </w:tc>
        <w:tc>
          <w:tcPr>
            <w:tcW w:w="3224" w:type="dxa"/>
            <w:gridSpan w:val="4"/>
            <w:tcBorders>
              <w:top w:val="nil"/>
              <w:left w:val="nil"/>
              <w:right w:val="nil"/>
            </w:tcBorders>
            <w:shd w:val="clear" w:color="auto" w:fill="auto"/>
            <w:noWrap/>
            <w:vAlign w:val="bottom"/>
          </w:tcPr>
          <w:p w:rsidR="00F91B8D" w:rsidRDefault="00F91B8D" w:rsidP="00AC134E">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tcPr>
          <w:p w:rsidR="00F91B8D" w:rsidRPr="00AC134E" w:rsidRDefault="00F91B8D" w:rsidP="00AC134E">
            <w:pPr>
              <w:spacing w:after="0" w:line="240" w:lineRule="auto"/>
              <w:rPr>
                <w:rFonts w:ascii="Times New Roman" w:eastAsia="Times New Roman" w:hAnsi="Times New Roman" w:cs="Times New Roman"/>
                <w:sz w:val="20"/>
                <w:szCs w:val="20"/>
              </w:rPr>
            </w:pPr>
          </w:p>
        </w:tc>
        <w:tc>
          <w:tcPr>
            <w:tcW w:w="3146" w:type="dxa"/>
            <w:gridSpan w:val="4"/>
            <w:tcBorders>
              <w:top w:val="nil"/>
              <w:left w:val="nil"/>
              <w:right w:val="nil"/>
            </w:tcBorders>
            <w:shd w:val="clear" w:color="auto" w:fill="auto"/>
            <w:noWrap/>
            <w:vAlign w:val="bottom"/>
          </w:tcPr>
          <w:p w:rsidR="00F91B8D" w:rsidRPr="00AC134E" w:rsidRDefault="00F91B8D" w:rsidP="00AC134E">
            <w:pPr>
              <w:spacing w:after="0" w:line="240" w:lineRule="auto"/>
              <w:jc w:val="center"/>
              <w:rPr>
                <w:rFonts w:ascii="Times New Roman" w:eastAsia="Times New Roman" w:hAnsi="Times New Roman" w:cs="Times New Roman"/>
                <w:sz w:val="20"/>
                <w:szCs w:val="20"/>
              </w:rPr>
            </w:pPr>
          </w:p>
        </w:tc>
      </w:tr>
      <w:tr w:rsidR="00F91B8D" w:rsidRPr="00AC134E" w:rsidTr="008F5F9F">
        <w:trPr>
          <w:trHeight w:hRule="exact" w:val="259"/>
        </w:trPr>
        <w:tc>
          <w:tcPr>
            <w:tcW w:w="4663" w:type="dxa"/>
            <w:gridSpan w:val="5"/>
            <w:tcBorders>
              <w:top w:val="nil"/>
              <w:left w:val="nil"/>
              <w:bottom w:val="nil"/>
              <w:right w:val="nil"/>
            </w:tcBorders>
            <w:shd w:val="clear" w:color="auto" w:fill="auto"/>
            <w:noWrap/>
            <w:vAlign w:val="bottom"/>
          </w:tcPr>
          <w:p w:rsidR="00F91B8D" w:rsidRPr="00F91B8D" w:rsidRDefault="00F91B8D" w:rsidP="00F91B8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Summary Statistics</w:t>
            </w:r>
          </w:p>
        </w:tc>
        <w:tc>
          <w:tcPr>
            <w:tcW w:w="300" w:type="dxa"/>
            <w:tcBorders>
              <w:top w:val="nil"/>
              <w:left w:val="nil"/>
              <w:bottom w:val="nil"/>
              <w:right w:val="nil"/>
            </w:tcBorders>
            <w:shd w:val="clear" w:color="auto" w:fill="auto"/>
            <w:noWrap/>
            <w:vAlign w:val="bottom"/>
          </w:tcPr>
          <w:p w:rsidR="00F91B8D" w:rsidRPr="00AC134E" w:rsidRDefault="00F91B8D" w:rsidP="00AC134E">
            <w:pPr>
              <w:spacing w:after="0" w:line="240" w:lineRule="auto"/>
              <w:jc w:val="center"/>
              <w:rPr>
                <w:rFonts w:ascii="Times New Roman" w:eastAsia="Times New Roman" w:hAnsi="Times New Roman" w:cs="Times New Roman"/>
                <w:sz w:val="20"/>
                <w:szCs w:val="20"/>
              </w:rPr>
            </w:pPr>
          </w:p>
        </w:tc>
        <w:tc>
          <w:tcPr>
            <w:tcW w:w="3224" w:type="dxa"/>
            <w:gridSpan w:val="4"/>
            <w:tcBorders>
              <w:top w:val="nil"/>
              <w:left w:val="nil"/>
              <w:right w:val="nil"/>
            </w:tcBorders>
            <w:shd w:val="clear" w:color="auto" w:fill="auto"/>
            <w:noWrap/>
            <w:vAlign w:val="bottom"/>
          </w:tcPr>
          <w:p w:rsidR="00F91B8D" w:rsidRDefault="00F91B8D" w:rsidP="00AC134E">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tcPr>
          <w:p w:rsidR="00F91B8D" w:rsidRPr="00AC134E" w:rsidRDefault="00F91B8D" w:rsidP="00AC134E">
            <w:pPr>
              <w:spacing w:after="0" w:line="240" w:lineRule="auto"/>
              <w:rPr>
                <w:rFonts w:ascii="Times New Roman" w:eastAsia="Times New Roman" w:hAnsi="Times New Roman" w:cs="Times New Roman"/>
                <w:sz w:val="20"/>
                <w:szCs w:val="20"/>
              </w:rPr>
            </w:pPr>
          </w:p>
        </w:tc>
        <w:tc>
          <w:tcPr>
            <w:tcW w:w="3146" w:type="dxa"/>
            <w:gridSpan w:val="4"/>
            <w:tcBorders>
              <w:top w:val="nil"/>
              <w:left w:val="nil"/>
              <w:right w:val="nil"/>
            </w:tcBorders>
            <w:shd w:val="clear" w:color="auto" w:fill="auto"/>
            <w:noWrap/>
            <w:vAlign w:val="bottom"/>
          </w:tcPr>
          <w:p w:rsidR="00F91B8D" w:rsidRPr="00AC134E" w:rsidRDefault="00F91B8D" w:rsidP="00AC134E">
            <w:pPr>
              <w:spacing w:after="0" w:line="240" w:lineRule="auto"/>
              <w:jc w:val="center"/>
              <w:rPr>
                <w:rFonts w:ascii="Times New Roman" w:eastAsia="Times New Roman" w:hAnsi="Times New Roman" w:cs="Times New Roman"/>
                <w:sz w:val="20"/>
                <w:szCs w:val="20"/>
              </w:rPr>
            </w:pPr>
          </w:p>
        </w:tc>
      </w:tr>
      <w:tr w:rsidR="00AC134E" w:rsidRPr="00AC134E" w:rsidTr="008F5F9F">
        <w:trPr>
          <w:trHeight w:val="255"/>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3180" w:type="dxa"/>
            <w:gridSpan w:val="4"/>
            <w:tcBorders>
              <w:left w:val="nil"/>
              <w:bottom w:val="single" w:sz="4" w:space="0" w:color="auto"/>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Compustat</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3224" w:type="dxa"/>
            <w:gridSpan w:val="4"/>
            <w:tcBorders>
              <w:left w:val="nil"/>
              <w:bottom w:val="single" w:sz="4" w:space="0" w:color="auto"/>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Non-</w:t>
            </w:r>
            <w:r w:rsidR="00AC134E" w:rsidRPr="00AC134E">
              <w:rPr>
                <w:rFonts w:ascii="Times New Roman" w:eastAsia="Times New Roman" w:hAnsi="Times New Roman" w:cs="Times New Roman"/>
                <w:sz w:val="20"/>
                <w:szCs w:val="20"/>
              </w:rPr>
              <w:t>BEA Firms</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3146" w:type="dxa"/>
            <w:gridSpan w:val="4"/>
            <w:tcBorders>
              <w:left w:val="nil"/>
              <w:bottom w:val="single" w:sz="4" w:space="0" w:color="auto"/>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BEA Firms</w:t>
            </w:r>
          </w:p>
        </w:tc>
      </w:tr>
      <w:tr w:rsidR="00AC134E" w:rsidRPr="00AC134E" w:rsidTr="008F5F9F">
        <w:trPr>
          <w:trHeight w:val="255"/>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962" w:type="dxa"/>
            <w:tcBorders>
              <w:top w:val="nil"/>
              <w:left w:val="nil"/>
              <w:bottom w:val="single" w:sz="4" w:space="0" w:color="auto"/>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Obs</w:t>
            </w:r>
          </w:p>
        </w:tc>
        <w:tc>
          <w:tcPr>
            <w:tcW w:w="966" w:type="dxa"/>
            <w:tcBorders>
              <w:top w:val="nil"/>
              <w:left w:val="nil"/>
              <w:bottom w:val="single" w:sz="4" w:space="0" w:color="auto"/>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Mean</w:t>
            </w:r>
          </w:p>
        </w:tc>
        <w:tc>
          <w:tcPr>
            <w:tcW w:w="236" w:type="dxa"/>
            <w:tcBorders>
              <w:top w:val="nil"/>
              <w:left w:val="nil"/>
              <w:bottom w:val="single" w:sz="4" w:space="0" w:color="auto"/>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single" w:sz="4" w:space="0" w:color="auto"/>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St. Dev.</w:t>
            </w:r>
          </w:p>
        </w:tc>
        <w:tc>
          <w:tcPr>
            <w:tcW w:w="300" w:type="dxa"/>
            <w:tcBorders>
              <w:top w:val="nil"/>
              <w:left w:val="nil"/>
              <w:bottom w:val="single" w:sz="4" w:space="0" w:color="auto"/>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w:t>
            </w:r>
          </w:p>
        </w:tc>
        <w:tc>
          <w:tcPr>
            <w:tcW w:w="992" w:type="dxa"/>
            <w:tcBorders>
              <w:top w:val="nil"/>
              <w:left w:val="nil"/>
              <w:bottom w:val="single" w:sz="4" w:space="0" w:color="auto"/>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Obs</w:t>
            </w:r>
          </w:p>
        </w:tc>
        <w:tc>
          <w:tcPr>
            <w:tcW w:w="966" w:type="dxa"/>
            <w:tcBorders>
              <w:top w:val="nil"/>
              <w:left w:val="nil"/>
              <w:bottom w:val="single" w:sz="4" w:space="0" w:color="auto"/>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Mean</w:t>
            </w:r>
          </w:p>
        </w:tc>
        <w:tc>
          <w:tcPr>
            <w:tcW w:w="250" w:type="dxa"/>
            <w:tcBorders>
              <w:top w:val="nil"/>
              <w:left w:val="nil"/>
              <w:bottom w:val="single" w:sz="4" w:space="0" w:color="auto"/>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single" w:sz="4" w:space="0" w:color="auto"/>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St. Dev.</w:t>
            </w:r>
          </w:p>
        </w:tc>
        <w:tc>
          <w:tcPr>
            <w:tcW w:w="300" w:type="dxa"/>
            <w:tcBorders>
              <w:top w:val="nil"/>
              <w:left w:val="nil"/>
              <w:bottom w:val="single" w:sz="4" w:space="0" w:color="auto"/>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w:t>
            </w:r>
          </w:p>
        </w:tc>
        <w:tc>
          <w:tcPr>
            <w:tcW w:w="1068" w:type="dxa"/>
            <w:tcBorders>
              <w:top w:val="nil"/>
              <w:left w:val="nil"/>
              <w:bottom w:val="single" w:sz="4" w:space="0" w:color="auto"/>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Obs</w:t>
            </w:r>
          </w:p>
        </w:tc>
        <w:tc>
          <w:tcPr>
            <w:tcW w:w="866" w:type="dxa"/>
            <w:tcBorders>
              <w:top w:val="nil"/>
              <w:left w:val="nil"/>
              <w:bottom w:val="single" w:sz="4" w:space="0" w:color="auto"/>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Mean</w:t>
            </w:r>
          </w:p>
        </w:tc>
        <w:tc>
          <w:tcPr>
            <w:tcW w:w="246" w:type="dxa"/>
            <w:tcBorders>
              <w:top w:val="nil"/>
              <w:left w:val="nil"/>
              <w:bottom w:val="single" w:sz="4" w:space="0" w:color="auto"/>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single" w:sz="4" w:space="0" w:color="auto"/>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St. Dev.</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Firm_efftaxrate</w:t>
            </w:r>
          </w:p>
        </w:tc>
        <w:tc>
          <w:tcPr>
            <w:tcW w:w="962" w:type="dxa"/>
            <w:tcBorders>
              <w:top w:val="nil"/>
              <w:left w:val="nil"/>
              <w:bottom w:val="nil"/>
              <w:right w:val="nil"/>
            </w:tcBorders>
            <w:shd w:val="clear" w:color="auto" w:fill="auto"/>
            <w:noWrap/>
            <w:vAlign w:val="bottom"/>
            <w:hideMark/>
          </w:tcPr>
          <w:p w:rsidR="00AC134E" w:rsidRPr="00AC134E" w:rsidRDefault="00AC134E" w:rsidP="0076114C">
            <w:pPr>
              <w:spacing w:after="0" w:line="240" w:lineRule="auto"/>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23,032 </w:t>
            </w:r>
          </w:p>
        </w:tc>
        <w:tc>
          <w:tcPr>
            <w:tcW w:w="966" w:type="dxa"/>
            <w:tcBorders>
              <w:top w:val="nil"/>
              <w:left w:val="nil"/>
              <w:bottom w:val="nil"/>
              <w:right w:val="nil"/>
            </w:tcBorders>
            <w:shd w:val="clear" w:color="auto" w:fill="auto"/>
            <w:noWrap/>
            <w:vAlign w:val="bottom"/>
            <w:hideMark/>
          </w:tcPr>
          <w:p w:rsidR="00AC134E" w:rsidRPr="00AC134E" w:rsidRDefault="0076114C"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0.3210 </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0.0540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23,032 </w:t>
            </w:r>
          </w:p>
        </w:tc>
        <w:tc>
          <w:tcPr>
            <w:tcW w:w="8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0.3210 </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0.0540 </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Mtr</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19,278 </w:t>
            </w: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0.2394 </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0.1394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9,402 </w:t>
            </w: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0.2220 </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0.1415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9,876 </w:t>
            </w:r>
          </w:p>
        </w:tc>
        <w:tc>
          <w:tcPr>
            <w:tcW w:w="8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0.2560 </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0.1353 </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Bcg_mtr</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31,040 </w:t>
            </w: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0.2298 </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0.1188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23,460 </w:t>
            </w: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0.2087 </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0.1196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7,580 </w:t>
            </w:r>
          </w:p>
        </w:tc>
        <w:tc>
          <w:tcPr>
            <w:tcW w:w="8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0.2953 </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0.0888 </w:t>
            </w:r>
          </w:p>
        </w:tc>
      </w:tr>
      <w:tr w:rsidR="00AC134E" w:rsidRPr="00AC134E" w:rsidTr="008F5F9F">
        <w:trPr>
          <w:trHeight w:val="180"/>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8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MV Lev</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44,868 </w:t>
            </w: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0.1950 </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0.2406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37,346 </w:t>
            </w: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0.1930 </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0.2451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7,522 </w:t>
            </w:r>
          </w:p>
        </w:tc>
        <w:tc>
          <w:tcPr>
            <w:tcW w:w="8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0.2051 </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0.2169 </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BV Lev</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49,684 </w:t>
            </w: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0.3392 </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0.5028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41,912 </w:t>
            </w: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0.3382 </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0.5230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7,772 </w:t>
            </w:r>
          </w:p>
        </w:tc>
        <w:tc>
          <w:tcPr>
            <w:tcW w:w="8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0.3449 </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0.3755 </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Net MV Lev</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44,864 </w:t>
            </w: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0.0392 </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0.3466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37,342 </w:t>
            </w: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0.0337 </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0.3570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7,522 </w:t>
            </w:r>
          </w:p>
        </w:tc>
        <w:tc>
          <w:tcPr>
            <w:tcW w:w="8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0.0665 </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0.2884 </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Net BV Lev</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49,680 </w:t>
            </w: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0.0281 </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0.6852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41,908 </w:t>
            </w: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0.0162 </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0.7120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7,772 </w:t>
            </w:r>
          </w:p>
        </w:tc>
        <w:tc>
          <w:tcPr>
            <w:tcW w:w="8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0.0922 </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0.5133 </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Int Cov</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39,883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121.5555 </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3,341.685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32,922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126.8420 </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3,653.679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DC11FF"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6,961 </w:t>
            </w:r>
          </w:p>
        </w:tc>
        <w:tc>
          <w:tcPr>
            <w:tcW w:w="8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96.5511 </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918.8927 </w:t>
            </w:r>
          </w:p>
        </w:tc>
      </w:tr>
      <w:tr w:rsidR="00AC134E" w:rsidRPr="00AC134E" w:rsidTr="008F5F9F">
        <w:trPr>
          <w:trHeight w:val="255"/>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8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Sales</w:t>
            </w:r>
            <w:r w:rsidRPr="00AC134E">
              <w:rPr>
                <w:rFonts w:ascii="Times New Roman" w:eastAsia="Times New Roman" w:hAnsi="Times New Roman" w:cs="Times New Roman"/>
                <w:i/>
                <w:iCs/>
                <w:sz w:val="20"/>
                <w:szCs w:val="20"/>
                <w:vertAlign w:val="subscript"/>
              </w:rPr>
              <w:t>i,t-1</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49,513 </w:t>
            </w:r>
          </w:p>
        </w:tc>
        <w:tc>
          <w:tcPr>
            <w:tcW w:w="966" w:type="dxa"/>
            <w:tcBorders>
              <w:top w:val="nil"/>
              <w:left w:val="nil"/>
              <w:bottom w:val="nil"/>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2,400 </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12,498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41,713 </w:t>
            </w:r>
          </w:p>
        </w:tc>
        <w:tc>
          <w:tcPr>
            <w:tcW w:w="966" w:type="dxa"/>
            <w:tcBorders>
              <w:top w:val="nil"/>
              <w:left w:val="nil"/>
              <w:bottom w:val="nil"/>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1,788 </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10,498 </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7,800 </w:t>
            </w:r>
          </w:p>
        </w:tc>
        <w:tc>
          <w:tcPr>
            <w:tcW w:w="866" w:type="dxa"/>
            <w:tcBorders>
              <w:top w:val="nil"/>
              <w:left w:val="nil"/>
              <w:bottom w:val="nil"/>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5,675 </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19,737 </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Rated</w:t>
            </w:r>
            <w:r w:rsidRPr="00AC134E">
              <w:rPr>
                <w:rFonts w:ascii="Times New Roman" w:eastAsia="Times New Roman" w:hAnsi="Times New Roman" w:cs="Times New Roman"/>
                <w:i/>
                <w:iCs/>
                <w:sz w:val="20"/>
                <w:szCs w:val="20"/>
                <w:vertAlign w:val="subscript"/>
              </w:rPr>
              <w:t>i,t</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65,484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0.1031</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0.3041</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42,452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0.0978</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0.2970</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23,032 </w:t>
            </w:r>
          </w:p>
        </w:tc>
        <w:tc>
          <w:tcPr>
            <w:tcW w:w="8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0.1130</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0.3166</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Ppeb</w:t>
            </w:r>
            <w:r w:rsidRPr="00AC134E">
              <w:rPr>
                <w:rFonts w:ascii="Times New Roman" w:eastAsia="Times New Roman" w:hAnsi="Times New Roman" w:cs="Times New Roman"/>
                <w:i/>
                <w:iCs/>
                <w:sz w:val="20"/>
                <w:szCs w:val="20"/>
                <w:vertAlign w:val="subscript"/>
              </w:rPr>
              <w:t>i,t</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49,806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0.2744</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0.2653</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42,005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0.2840</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0.2768</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7,801 </w:t>
            </w:r>
          </w:p>
        </w:tc>
        <w:tc>
          <w:tcPr>
            <w:tcW w:w="8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0.2226</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0.1838</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Roa</w:t>
            </w:r>
            <w:r w:rsidRPr="00AC134E">
              <w:rPr>
                <w:rFonts w:ascii="Times New Roman" w:eastAsia="Times New Roman" w:hAnsi="Times New Roman" w:cs="Times New Roman"/>
                <w:i/>
                <w:iCs/>
                <w:sz w:val="20"/>
                <w:szCs w:val="20"/>
                <w:vertAlign w:val="subscript"/>
              </w:rPr>
              <w:t>i,t</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49,366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-0.0477</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0.3489</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41,572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-0.0771</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0.3685</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7,794 </w:t>
            </w:r>
          </w:p>
        </w:tc>
        <w:tc>
          <w:tcPr>
            <w:tcW w:w="8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0.1091</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0.1327</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Divs</w:t>
            </w:r>
            <w:r w:rsidRPr="00AC134E">
              <w:rPr>
                <w:rFonts w:ascii="Times New Roman" w:eastAsia="Times New Roman" w:hAnsi="Times New Roman" w:cs="Times New Roman"/>
                <w:i/>
                <w:iCs/>
                <w:sz w:val="20"/>
                <w:szCs w:val="20"/>
                <w:vertAlign w:val="subscript"/>
              </w:rPr>
              <w:t>i,t</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49,842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0.3038</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0.4599</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42,040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0.2716</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0.4448</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7,802 </w:t>
            </w:r>
          </w:p>
        </w:tc>
        <w:tc>
          <w:tcPr>
            <w:tcW w:w="8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0.4773</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0.4995</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Rd</w:t>
            </w:r>
            <w:r w:rsidRPr="00AC134E">
              <w:rPr>
                <w:rFonts w:ascii="Times New Roman" w:eastAsia="Times New Roman" w:hAnsi="Times New Roman" w:cs="Times New Roman"/>
                <w:i/>
                <w:iCs/>
                <w:sz w:val="20"/>
                <w:szCs w:val="20"/>
                <w:vertAlign w:val="subscript"/>
              </w:rPr>
              <w:t>i,t</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44,806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0.1923</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0.5953</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37,026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0.2177</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0.6433</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7,780 </w:t>
            </w:r>
          </w:p>
        </w:tc>
        <w:tc>
          <w:tcPr>
            <w:tcW w:w="8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0.0713</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0.2322</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Adv</w:t>
            </w:r>
            <w:r w:rsidRPr="00AC134E">
              <w:rPr>
                <w:rFonts w:ascii="Times New Roman" w:eastAsia="Times New Roman" w:hAnsi="Times New Roman" w:cs="Times New Roman"/>
                <w:i/>
                <w:iCs/>
                <w:sz w:val="20"/>
                <w:szCs w:val="20"/>
                <w:vertAlign w:val="subscript"/>
              </w:rPr>
              <w:t>i,t</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44,806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0.0168</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0.1146</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37,026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0.0178</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0.1234</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7,780 </w:t>
            </w:r>
          </w:p>
        </w:tc>
        <w:tc>
          <w:tcPr>
            <w:tcW w:w="8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0.0117</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0.0564</w:t>
            </w:r>
          </w:p>
        </w:tc>
      </w:tr>
      <w:tr w:rsidR="00AC134E" w:rsidRPr="00AC134E" w:rsidTr="008F5F9F">
        <w:trPr>
          <w:trHeight w:hRule="exact" w:val="288"/>
        </w:trPr>
        <w:tc>
          <w:tcPr>
            <w:tcW w:w="1483"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i/>
                <w:iCs/>
                <w:sz w:val="20"/>
                <w:szCs w:val="20"/>
              </w:rPr>
            </w:pPr>
            <w:r w:rsidRPr="00AC134E">
              <w:rPr>
                <w:rFonts w:ascii="Times New Roman" w:eastAsia="Times New Roman" w:hAnsi="Times New Roman" w:cs="Times New Roman"/>
                <w:i/>
                <w:iCs/>
                <w:sz w:val="20"/>
                <w:szCs w:val="20"/>
              </w:rPr>
              <w:t>Mb</w:t>
            </w:r>
            <w:r w:rsidRPr="00AC134E">
              <w:rPr>
                <w:rFonts w:ascii="Times New Roman" w:eastAsia="Times New Roman" w:hAnsi="Times New Roman" w:cs="Times New Roman"/>
                <w:i/>
                <w:iCs/>
                <w:sz w:val="20"/>
                <w:szCs w:val="20"/>
                <w:vertAlign w:val="subscript"/>
              </w:rPr>
              <w:t>i,t</w:t>
            </w:r>
          </w:p>
        </w:tc>
        <w:tc>
          <w:tcPr>
            <w:tcW w:w="962"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49,842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3.3352</w:t>
            </w:r>
          </w:p>
        </w:tc>
        <w:tc>
          <w:tcPr>
            <w:tcW w:w="23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3.1978</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AC134E" w:rsidRPr="00AC134E" w:rsidRDefault="00AC134E" w:rsidP="006B206E">
            <w:pPr>
              <w:spacing w:after="0" w:line="240" w:lineRule="auto"/>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 xml:space="preserve">42,040 </w:t>
            </w: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3.5594</w:t>
            </w:r>
          </w:p>
        </w:tc>
        <w:tc>
          <w:tcPr>
            <w:tcW w:w="250"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3.3461</w:t>
            </w:r>
          </w:p>
        </w:tc>
        <w:tc>
          <w:tcPr>
            <w:tcW w:w="300"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rPr>
                <w:rFonts w:ascii="Times New Roman" w:eastAsia="Times New Roman" w:hAnsi="Times New Roman" w:cs="Times New Roman"/>
                <w:sz w:val="20"/>
                <w:szCs w:val="20"/>
              </w:rPr>
            </w:pPr>
          </w:p>
        </w:tc>
        <w:tc>
          <w:tcPr>
            <w:tcW w:w="1068" w:type="dxa"/>
            <w:tcBorders>
              <w:top w:val="nil"/>
              <w:left w:val="nil"/>
              <w:bottom w:val="nil"/>
              <w:right w:val="nil"/>
            </w:tcBorders>
            <w:shd w:val="clear" w:color="auto" w:fill="auto"/>
            <w:noWrap/>
            <w:vAlign w:val="bottom"/>
            <w:hideMark/>
          </w:tcPr>
          <w:p w:rsidR="00AC134E" w:rsidRPr="00AC134E" w:rsidRDefault="006B206E" w:rsidP="00AC134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C134E" w:rsidRPr="00AC134E">
              <w:rPr>
                <w:rFonts w:ascii="Times New Roman" w:eastAsia="Times New Roman" w:hAnsi="Times New Roman" w:cs="Times New Roman"/>
                <w:sz w:val="20"/>
                <w:szCs w:val="20"/>
              </w:rPr>
              <w:t xml:space="preserve">7,802 </w:t>
            </w:r>
          </w:p>
        </w:tc>
        <w:tc>
          <w:tcPr>
            <w:tcW w:w="8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2.1272</w:t>
            </w:r>
          </w:p>
        </w:tc>
        <w:tc>
          <w:tcPr>
            <w:tcW w:w="246" w:type="dxa"/>
            <w:tcBorders>
              <w:top w:val="nil"/>
              <w:left w:val="nil"/>
              <w:bottom w:val="nil"/>
              <w:right w:val="nil"/>
            </w:tcBorders>
            <w:shd w:val="clear" w:color="auto" w:fill="auto"/>
            <w:noWrap/>
            <w:vAlign w:val="bottom"/>
          </w:tcPr>
          <w:p w:rsidR="00AC134E" w:rsidRPr="00AC134E" w:rsidRDefault="00AC134E" w:rsidP="00AC134E">
            <w:pPr>
              <w:spacing w:after="0" w:line="240" w:lineRule="auto"/>
              <w:jc w:val="center"/>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noWrap/>
            <w:vAlign w:val="bottom"/>
            <w:hideMark/>
          </w:tcPr>
          <w:p w:rsidR="00AC134E" w:rsidRPr="00AC134E" w:rsidRDefault="00AC134E" w:rsidP="00AC134E">
            <w:pPr>
              <w:spacing w:after="0" w:line="240" w:lineRule="auto"/>
              <w:jc w:val="center"/>
              <w:rPr>
                <w:rFonts w:ascii="Times New Roman" w:eastAsia="Times New Roman" w:hAnsi="Times New Roman" w:cs="Times New Roman"/>
                <w:sz w:val="20"/>
                <w:szCs w:val="20"/>
              </w:rPr>
            </w:pPr>
            <w:r w:rsidRPr="00AC134E">
              <w:rPr>
                <w:rFonts w:ascii="Times New Roman" w:eastAsia="Times New Roman" w:hAnsi="Times New Roman" w:cs="Times New Roman"/>
                <w:sz w:val="20"/>
                <w:szCs w:val="20"/>
              </w:rPr>
              <w:t>1.8075</w:t>
            </w:r>
          </w:p>
        </w:tc>
      </w:tr>
    </w:tbl>
    <w:p w:rsidR="008136EA" w:rsidRDefault="008136EA"/>
    <w:p w:rsidR="008136EA" w:rsidRDefault="008136EA"/>
    <w:p w:rsidR="008136EA" w:rsidRDefault="008136EA"/>
    <w:p w:rsidR="008136EA" w:rsidRDefault="008136EA"/>
    <w:p w:rsidR="008136EA" w:rsidRDefault="008136EA"/>
    <w:p w:rsidR="008136EA" w:rsidRDefault="008136EA"/>
    <w:p w:rsidR="008136EA" w:rsidRDefault="008136EA"/>
    <w:p w:rsidR="00A51396" w:rsidRDefault="00A51396" w:rsidP="00A51396"/>
    <w:p w:rsidR="008136EA" w:rsidRDefault="008136EA" w:rsidP="00A51396"/>
    <w:p w:rsidR="00434249" w:rsidRDefault="00434249" w:rsidP="00A51396"/>
    <w:p w:rsidR="00434249" w:rsidRDefault="00434249" w:rsidP="00A51396"/>
    <w:p w:rsidR="00434249" w:rsidRDefault="00434249" w:rsidP="00A51396"/>
    <w:tbl>
      <w:tblPr>
        <w:tblStyle w:val="TableGrid"/>
        <w:tblW w:w="0" w:type="auto"/>
        <w:tblLook w:val="04A0" w:firstRow="1" w:lastRow="0" w:firstColumn="1" w:lastColumn="0" w:noHBand="0" w:noVBand="1"/>
      </w:tblPr>
      <w:tblGrid>
        <w:gridCol w:w="1789"/>
        <w:gridCol w:w="1587"/>
        <w:gridCol w:w="1587"/>
        <w:gridCol w:w="1587"/>
        <w:gridCol w:w="1586"/>
        <w:gridCol w:w="1260"/>
        <w:gridCol w:w="1260"/>
        <w:gridCol w:w="1260"/>
        <w:gridCol w:w="1260"/>
      </w:tblGrid>
      <w:tr w:rsidR="00A51396" w:rsidTr="00536F3E">
        <w:tc>
          <w:tcPr>
            <w:tcW w:w="13176" w:type="dxa"/>
            <w:gridSpan w:val="9"/>
            <w:tcBorders>
              <w:top w:val="nil"/>
              <w:left w:val="nil"/>
              <w:bottom w:val="nil"/>
              <w:right w:val="nil"/>
            </w:tcBorders>
          </w:tcPr>
          <w:p w:rsidR="00A51396" w:rsidRPr="00606CEE" w:rsidRDefault="00A51396" w:rsidP="00536F3E">
            <w:pPr>
              <w:rPr>
                <w:rFonts w:ascii="Times New Roman" w:hAnsi="Times New Roman" w:cs="Times New Roman"/>
                <w:b/>
                <w:sz w:val="20"/>
                <w:szCs w:val="20"/>
              </w:rPr>
            </w:pPr>
            <w:r>
              <w:rPr>
                <w:rFonts w:ascii="Times New Roman" w:hAnsi="Times New Roman" w:cs="Times New Roman"/>
                <w:b/>
                <w:sz w:val="20"/>
                <w:szCs w:val="20"/>
              </w:rPr>
              <w:t>Table 2</w:t>
            </w:r>
          </w:p>
          <w:p w:rsidR="00A51396" w:rsidRPr="00606CEE" w:rsidRDefault="00A51396" w:rsidP="00536F3E">
            <w:pPr>
              <w:rPr>
                <w:rFonts w:ascii="Times New Roman" w:hAnsi="Times New Roman" w:cs="Times New Roman"/>
                <w:b/>
                <w:sz w:val="20"/>
                <w:szCs w:val="20"/>
              </w:rPr>
            </w:pPr>
            <w:r w:rsidRPr="00606CEE">
              <w:rPr>
                <w:rFonts w:ascii="Times New Roman" w:hAnsi="Times New Roman" w:cs="Times New Roman"/>
                <w:b/>
                <w:sz w:val="20"/>
                <w:szCs w:val="20"/>
              </w:rPr>
              <w:t>Book Leverage Regressions</w:t>
            </w:r>
          </w:p>
          <w:p w:rsidR="00A51396" w:rsidRDefault="00A51396" w:rsidP="00536F3E">
            <w:pPr>
              <w:rPr>
                <w:rFonts w:ascii="Times New Roman" w:hAnsi="Times New Roman" w:cs="Times New Roman"/>
                <w:sz w:val="20"/>
                <w:szCs w:val="20"/>
              </w:rPr>
            </w:pPr>
            <w:r w:rsidRPr="008D5EED">
              <w:rPr>
                <w:rFonts w:ascii="Times New Roman" w:hAnsi="Times New Roman" w:cs="Times New Roman"/>
                <w:sz w:val="20"/>
                <w:szCs w:val="20"/>
              </w:rPr>
              <w:t>The table reports the results from estima</w:t>
            </w:r>
            <w:r>
              <w:rPr>
                <w:rFonts w:ascii="Times New Roman" w:hAnsi="Times New Roman" w:cs="Times New Roman"/>
                <w:sz w:val="20"/>
                <w:szCs w:val="20"/>
              </w:rPr>
              <w:t>ting the following OLS equation in columns I-IV:</w:t>
            </w:r>
          </w:p>
          <w:p w:rsidR="00A51396" w:rsidRPr="0067227A" w:rsidRDefault="00A51396" w:rsidP="00536F3E">
            <w:pPr>
              <w:rPr>
                <w:rFonts w:ascii="Times New Roman" w:eastAsiaTheme="minorEastAsia" w:hAnsi="Times New Roman" w:cs="Times New Roman"/>
                <w:sz w:val="20"/>
                <w:szCs w:val="20"/>
              </w:rPr>
            </w:pPr>
          </w:p>
          <w:p w:rsidR="00A51396" w:rsidRDefault="00A51396" w:rsidP="00536F3E">
            <w:pPr>
              <w:rPr>
                <w:rFonts w:ascii="Times New Roman" w:eastAsiaTheme="minorEastAsia" w:hAnsi="Times New Roman" w:cs="Times New Roman"/>
                <w:sz w:val="20"/>
                <w:szCs w:val="20"/>
              </w:rPr>
            </w:pPr>
            <m:oMath>
              <m:r>
                <w:rPr>
                  <w:rFonts w:ascii="Cambria Math" w:hAnsi="Cambria Math" w:cs="Times New Roman"/>
                  <w:sz w:val="20"/>
                  <w:szCs w:val="20"/>
                </w:rPr>
                <m:t xml:space="preserve">        BV Le</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tax+</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r>
                <w:rPr>
                  <w:rFonts w:ascii="Cambria Math" w:hAnsi="Cambria Math" w:cs="Times New Roman"/>
                  <w:sz w:val="20"/>
                  <w:szCs w:val="20"/>
                </w:rPr>
                <m:t>sale</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ed</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r>
                <w:rPr>
                  <w:rFonts w:ascii="Cambria Math" w:hAnsi="Cambria Math" w:cs="Times New Roman"/>
                  <w:sz w:val="20"/>
                  <w:szCs w:val="20"/>
                </w:rPr>
                <m:t>ppe</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r>
                <w:rPr>
                  <w:rFonts w:ascii="Cambria Math" w:hAnsi="Cambria Math" w:cs="Times New Roman"/>
                  <w:sz w:val="20"/>
                  <w:szCs w:val="20"/>
                </w:rPr>
                <m:t>ro</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6</m:t>
                  </m:r>
                </m:sub>
              </m:sSub>
              <m:r>
                <w:rPr>
                  <w:rFonts w:ascii="Cambria Math" w:hAnsi="Cambria Math" w:cs="Times New Roman"/>
                  <w:sz w:val="20"/>
                  <w:szCs w:val="20"/>
                </w:rPr>
                <m:t>div</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7</m:t>
                  </m:r>
                </m:sub>
              </m:sSub>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8</m:t>
                  </m:r>
                </m:sub>
              </m:sSub>
              <m:r>
                <w:rPr>
                  <w:rFonts w:ascii="Cambria Math" w:hAnsi="Cambria Math" w:cs="Times New Roman"/>
                  <w:sz w:val="20"/>
                  <w:szCs w:val="20"/>
                </w:rPr>
                <m:t>ad</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9</m:t>
                  </m:r>
                </m:sub>
              </m:sSub>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10</m:t>
                  </m:r>
                </m:sub>
              </m:sSub>
              <m:r>
                <w:rPr>
                  <w:rFonts w:ascii="Cambria Math" w:hAnsi="Cambria Math" w:cs="Times New Roman"/>
                  <w:sz w:val="20"/>
                  <w:szCs w:val="20"/>
                </w:rPr>
                <m:t xml:space="preserve">dyear2003+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11</m:t>
                  </m:r>
                </m:sub>
              </m:sSub>
              <m:r>
                <w:rPr>
                  <w:rFonts w:ascii="Cambria Math" w:hAnsi="Cambria Math" w:cs="Times New Roman"/>
                  <w:sz w:val="20"/>
                  <w:szCs w:val="20"/>
                </w:rPr>
                <m:t xml:space="preserve">dyear2004+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12</m:t>
                  </m:r>
                </m:sub>
              </m:sSub>
              <m:r>
                <w:rPr>
                  <w:rFonts w:ascii="Cambria Math" w:hAnsi="Cambria Math" w:cs="Times New Roman"/>
                  <w:sz w:val="20"/>
                  <w:szCs w:val="20"/>
                </w:rPr>
                <m:t xml:space="preserve">dyear2005+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13</m:t>
                  </m:r>
                </m:sub>
              </m:sSub>
              <m:r>
                <w:rPr>
                  <w:rFonts w:ascii="Cambria Math" w:hAnsi="Cambria Math" w:cs="Times New Roman"/>
                  <w:sz w:val="20"/>
                  <w:szCs w:val="20"/>
                </w:rPr>
                <m:t xml:space="preserve">dyear2006+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14</m:t>
                  </m:r>
                </m:sub>
              </m:sSub>
              <m:r>
                <w:rPr>
                  <w:rFonts w:ascii="Cambria Math" w:hAnsi="Cambria Math" w:cs="Times New Roman"/>
                  <w:sz w:val="20"/>
                  <w:szCs w:val="20"/>
                </w:rPr>
                <m:t xml:space="preserve">dyear2007+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15</m:t>
                  </m:r>
                </m:sub>
              </m:sSub>
              <m:r>
                <w:rPr>
                  <w:rFonts w:ascii="Cambria Math" w:hAnsi="Cambria Math" w:cs="Times New Roman"/>
                  <w:sz w:val="20"/>
                  <w:szCs w:val="20"/>
                </w:rPr>
                <m:t>dyear2008+</m:t>
              </m:r>
              <m:sSub>
                <m:sSubPr>
                  <m:ctrlPr>
                    <w:rPr>
                      <w:rFonts w:ascii="Cambria Math" w:hAnsi="Cambria Math" w:cs="Times New Roman"/>
                      <w:i/>
                      <w:sz w:val="20"/>
                      <w:szCs w:val="20"/>
                    </w:rPr>
                  </m:ctrlPr>
                </m:sSubPr>
                <m:e>
                  <m:r>
                    <w:rPr>
                      <w:rFonts w:ascii="Cambria Math" w:hAnsi="Cambria Math" w:cs="Times New Roman"/>
                      <w:sz w:val="20"/>
                      <w:szCs w:val="20"/>
                    </w:rPr>
                    <m:t>ϵ</m:t>
                  </m:r>
                </m:e>
                <m:sub>
                  <m:r>
                    <w:rPr>
                      <w:rFonts w:ascii="Cambria Math" w:hAnsi="Cambria Math" w:cs="Times New Roman"/>
                      <w:sz w:val="20"/>
                      <w:szCs w:val="20"/>
                    </w:rPr>
                    <m:t>i,t</m:t>
                  </m:r>
                </m:sub>
              </m:sSub>
            </m:oMath>
            <w:r>
              <w:rPr>
                <w:rFonts w:ascii="Times New Roman" w:eastAsiaTheme="minorEastAsia" w:hAnsi="Times New Roman" w:cs="Times New Roman"/>
                <w:sz w:val="20"/>
                <w:szCs w:val="20"/>
              </w:rPr>
              <w:t xml:space="preserve">   </w:t>
            </w:r>
          </w:p>
          <w:p w:rsidR="00A51396" w:rsidRDefault="00A51396" w:rsidP="00536F3E">
            <w:pPr>
              <w:rPr>
                <w:rFonts w:ascii="Times New Roman" w:eastAsiaTheme="minorEastAsia" w:hAnsi="Times New Roman" w:cs="Times New Roman"/>
                <w:sz w:val="20"/>
                <w:szCs w:val="20"/>
              </w:rPr>
            </w:pPr>
          </w:p>
          <w:p w:rsidR="00A51396" w:rsidRDefault="00A51396"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Columns V-VIII report the results from estimation using between effects which is the OLS estimator applied to the following time-averaged equation:</w:t>
            </w:r>
          </w:p>
          <w:p w:rsidR="00A51396" w:rsidRDefault="00A51396" w:rsidP="00536F3E">
            <w:pPr>
              <w:rPr>
                <w:rFonts w:ascii="Times New Roman" w:eastAsiaTheme="minorEastAsia" w:hAnsi="Times New Roman" w:cs="Times New Roman"/>
                <w:sz w:val="20"/>
                <w:szCs w:val="20"/>
              </w:rPr>
            </w:pPr>
          </w:p>
          <w:p w:rsidR="00A51396" w:rsidRDefault="00A51396" w:rsidP="00536F3E">
            <w:pPr>
              <w:rPr>
                <w:rFonts w:ascii="Times New Roman" w:eastAsiaTheme="minorEastAsia" w:hAnsi="Times New Roman" w:cs="Times New Roman"/>
                <w:sz w:val="20"/>
                <w:szCs w:val="20"/>
              </w:rPr>
            </w:pPr>
            <m:oMath>
              <m:r>
                <w:rPr>
                  <w:rFonts w:ascii="Cambria Math" w:hAnsi="Cambria Math" w:cs="Times New Roman"/>
                  <w:sz w:val="20"/>
                  <w:szCs w:val="20"/>
                </w:rPr>
                <m:t xml:space="preserve">        BV </m:t>
              </m:r>
              <m:acc>
                <m:accPr>
                  <m:chr m:val="̅"/>
                  <m:ctrlPr>
                    <w:rPr>
                      <w:rFonts w:ascii="Cambria Math" w:hAnsi="Cambria Math" w:cs="Times New Roman"/>
                      <w:i/>
                      <w:sz w:val="20"/>
                      <w:szCs w:val="20"/>
                    </w:rPr>
                  </m:ctrlPr>
                </m:accPr>
                <m:e>
                  <m:r>
                    <w:rPr>
                      <w:rFonts w:ascii="Cambria Math" w:hAnsi="Cambria Math" w:cs="Times New Roman"/>
                      <w:sz w:val="20"/>
                      <w:szCs w:val="20"/>
                    </w:rPr>
                    <m:t>Le</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tax+</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acc>
                <m:accPr>
                  <m:chr m:val="̅"/>
                  <m:ctrlPr>
                    <w:rPr>
                      <w:rFonts w:ascii="Cambria Math" w:hAnsi="Cambria Math" w:cs="Times New Roman"/>
                      <w:i/>
                      <w:sz w:val="20"/>
                      <w:szCs w:val="20"/>
                    </w:rPr>
                  </m:ctrlPr>
                </m:accPr>
                <m:e>
                  <m:r>
                    <w:rPr>
                      <w:rFonts w:ascii="Cambria Math" w:hAnsi="Cambria Math" w:cs="Times New Roman"/>
                      <w:sz w:val="20"/>
                      <w:szCs w:val="20"/>
                    </w:rPr>
                    <m:t>sale</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acc>
                <m:accPr>
                  <m:chr m:val="̅"/>
                  <m:ctrlPr>
                    <w:rPr>
                      <w:rFonts w:ascii="Cambria Math" w:hAnsi="Cambria Math" w:cs="Times New Roman"/>
                      <w:i/>
                      <w:sz w:val="20"/>
                      <w:szCs w:val="20"/>
                    </w:rPr>
                  </m:ctrlPr>
                </m:accPr>
                <m:e>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ed</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acc>
                <m:accPr>
                  <m:chr m:val="̅"/>
                  <m:ctrlPr>
                    <w:rPr>
                      <w:rFonts w:ascii="Cambria Math" w:hAnsi="Cambria Math" w:cs="Times New Roman"/>
                      <w:i/>
                      <w:sz w:val="20"/>
                      <w:szCs w:val="20"/>
                    </w:rPr>
                  </m:ctrlPr>
                </m:accPr>
                <m:e>
                  <m:r>
                    <w:rPr>
                      <w:rFonts w:ascii="Cambria Math" w:hAnsi="Cambria Math" w:cs="Times New Roman"/>
                      <w:sz w:val="20"/>
                      <w:szCs w:val="20"/>
                    </w:rPr>
                    <m:t>ppe</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acc>
                <m:accPr>
                  <m:chr m:val="̅"/>
                  <m:ctrlPr>
                    <w:rPr>
                      <w:rFonts w:ascii="Cambria Math" w:hAnsi="Cambria Math" w:cs="Times New Roman"/>
                      <w:i/>
                      <w:sz w:val="20"/>
                      <w:szCs w:val="20"/>
                    </w:rPr>
                  </m:ctrlPr>
                </m:accPr>
                <m:e>
                  <m:r>
                    <w:rPr>
                      <w:rFonts w:ascii="Cambria Math" w:hAnsi="Cambria Math" w:cs="Times New Roman"/>
                      <w:sz w:val="20"/>
                      <w:szCs w:val="20"/>
                    </w:rPr>
                    <m:t>ro</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6</m:t>
                  </m:r>
                </m:sub>
              </m:sSub>
              <m:acc>
                <m:accPr>
                  <m:chr m:val="̅"/>
                  <m:ctrlPr>
                    <w:rPr>
                      <w:rFonts w:ascii="Cambria Math" w:hAnsi="Cambria Math" w:cs="Times New Roman"/>
                      <w:i/>
                      <w:sz w:val="20"/>
                      <w:szCs w:val="20"/>
                    </w:rPr>
                  </m:ctrlPr>
                </m:accPr>
                <m:e>
                  <m:r>
                    <w:rPr>
                      <w:rFonts w:ascii="Cambria Math" w:hAnsi="Cambria Math" w:cs="Times New Roman"/>
                      <w:sz w:val="20"/>
                      <w:szCs w:val="20"/>
                    </w:rPr>
                    <m:t>div</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7</m:t>
                  </m:r>
                </m:sub>
              </m:sSub>
              <m:acc>
                <m:accPr>
                  <m:chr m:val="̅"/>
                  <m:ctrlPr>
                    <w:rPr>
                      <w:rFonts w:ascii="Cambria Math" w:hAnsi="Cambria Math" w:cs="Times New Roman"/>
                      <w:i/>
                      <w:sz w:val="20"/>
                      <w:szCs w:val="20"/>
                    </w:rPr>
                  </m:ctrlPr>
                </m:accPr>
                <m:e>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8</m:t>
                  </m:r>
                </m:sub>
              </m:sSub>
              <m:acc>
                <m:accPr>
                  <m:chr m:val="̅"/>
                  <m:ctrlPr>
                    <w:rPr>
                      <w:rFonts w:ascii="Cambria Math" w:hAnsi="Cambria Math" w:cs="Times New Roman"/>
                      <w:i/>
                      <w:sz w:val="20"/>
                      <w:szCs w:val="20"/>
                    </w:rPr>
                  </m:ctrlPr>
                </m:accPr>
                <m:e>
                  <m:r>
                    <w:rPr>
                      <w:rFonts w:ascii="Cambria Math" w:hAnsi="Cambria Math" w:cs="Times New Roman"/>
                      <w:sz w:val="20"/>
                      <w:szCs w:val="20"/>
                    </w:rPr>
                    <m:t>ad</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9</m:t>
                  </m:r>
                </m:sub>
              </m:sSub>
              <m:acc>
                <m:accPr>
                  <m:chr m:val="̅"/>
                  <m:ctrlPr>
                    <w:rPr>
                      <w:rFonts w:ascii="Cambria Math" w:hAnsi="Cambria Math" w:cs="Times New Roman"/>
                      <w:i/>
                      <w:sz w:val="20"/>
                      <w:szCs w:val="20"/>
                    </w:rPr>
                  </m:ctrlPr>
                </m:accPr>
                <m:e>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ϵ</m:t>
                  </m:r>
                </m:e>
                <m:sub>
                  <m:r>
                    <w:rPr>
                      <w:rFonts w:ascii="Cambria Math" w:hAnsi="Cambria Math" w:cs="Times New Roman"/>
                      <w:sz w:val="20"/>
                      <w:szCs w:val="20"/>
                    </w:rPr>
                    <m:t>i,t</m:t>
                  </m:r>
                </m:sub>
              </m:sSub>
            </m:oMath>
            <w:r>
              <w:rPr>
                <w:rFonts w:ascii="Times New Roman" w:eastAsiaTheme="minorEastAsia" w:hAnsi="Times New Roman" w:cs="Times New Roman"/>
                <w:sz w:val="20"/>
                <w:szCs w:val="20"/>
              </w:rPr>
              <w:t xml:space="preserve">   </w:t>
            </w:r>
          </w:p>
          <w:p w:rsidR="00A51396" w:rsidRDefault="00A51396" w:rsidP="00536F3E">
            <w:pPr>
              <w:rPr>
                <w:rFonts w:ascii="Times New Roman" w:eastAsiaTheme="minorEastAsia" w:hAnsi="Times New Roman" w:cs="Times New Roman"/>
                <w:sz w:val="20"/>
                <w:szCs w:val="20"/>
              </w:rPr>
            </w:pPr>
          </w:p>
          <w:p w:rsidR="00A51396" w:rsidRPr="001A43BB" w:rsidRDefault="00A51396"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Where </w:t>
            </w:r>
            <m:oMath>
              <m:acc>
                <m:accPr>
                  <m:chr m:val="̅"/>
                  <m:ctrlPr>
                    <w:rPr>
                      <w:rFonts w:ascii="Cambria Math" w:eastAsiaTheme="minorEastAsia" w:hAnsi="Cambria Math" w:cs="Times New Roman"/>
                      <w:i/>
                      <w:sz w:val="20"/>
                      <w:szCs w:val="20"/>
                    </w:rPr>
                  </m:ctrlPr>
                </m:acc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Lev</m:t>
                      </m:r>
                    </m:e>
                    <m:sub>
                      <m:r>
                        <w:rPr>
                          <w:rFonts w:ascii="Cambria Math" w:eastAsiaTheme="minorEastAsia" w:hAnsi="Cambria Math" w:cs="Times New Roman"/>
                          <w:sz w:val="20"/>
                          <w:szCs w:val="20"/>
                        </w:rPr>
                        <m:t>t</m:t>
                      </m:r>
                    </m:sub>
                  </m:sSub>
                </m:e>
              </m:acc>
            </m:oMath>
            <w:r>
              <w:rPr>
                <w:rFonts w:ascii="Times New Roman" w:eastAsiaTheme="minorEastAsia" w:hAnsi="Times New Roman" w:cs="Times New Roman"/>
                <w:sz w:val="20"/>
                <w:szCs w:val="20"/>
              </w:rPr>
              <w:t xml:space="preserve"> represents the average across time, i.e. </w:t>
            </w:r>
            <m:oMath>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t=1</m:t>
                  </m:r>
                </m:sub>
                <m:sup>
                  <m:r>
                    <w:rPr>
                      <w:rFonts w:ascii="Cambria Math" w:eastAsiaTheme="minorEastAsia" w:hAnsi="Cambria Math" w:cs="Times New Roman"/>
                      <w:sz w:val="20"/>
                      <w:szCs w:val="20"/>
                    </w:rPr>
                    <m:t>T</m:t>
                  </m:r>
                </m:sup>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Lev</m:t>
                          </m:r>
                        </m:e>
                        <m:sub>
                          <m:r>
                            <w:rPr>
                              <w:rFonts w:ascii="Cambria Math" w:eastAsiaTheme="minorEastAsia" w:hAnsi="Cambria Math" w:cs="Times New Roman"/>
                              <w:sz w:val="20"/>
                              <w:szCs w:val="20"/>
                            </w:rPr>
                            <m:t>i,t</m:t>
                          </m:r>
                        </m:sub>
                      </m:sSub>
                    </m:num>
                    <m:den>
                      <m:r>
                        <w:rPr>
                          <w:rFonts w:ascii="Cambria Math" w:eastAsiaTheme="minorEastAsia" w:hAnsi="Cambria Math" w:cs="Times New Roman"/>
                          <w:sz w:val="20"/>
                          <w:szCs w:val="20"/>
                        </w:rPr>
                        <m:t>T</m:t>
                      </m:r>
                    </m:den>
                  </m:f>
                </m:e>
              </m:nary>
            </m:oMath>
            <w:r>
              <w:rPr>
                <w:rFonts w:ascii="Times New Roman" w:eastAsiaTheme="minorEastAsia" w:hAnsi="Times New Roman" w:cs="Times New Roman"/>
                <w:sz w:val="20"/>
                <w:szCs w:val="20"/>
              </w:rPr>
              <w:t>.</w:t>
            </w:r>
          </w:p>
          <w:p w:rsidR="00A51396" w:rsidRDefault="00A51396"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dependent variable is the book value of leverage (</w:t>
            </w:r>
            <w:r>
              <w:rPr>
                <w:rFonts w:ascii="Times New Roman" w:eastAsiaTheme="minorEastAsia" w:hAnsi="Times New Roman" w:cs="Times New Roman"/>
                <w:i/>
                <w:sz w:val="20"/>
                <w:szCs w:val="20"/>
              </w:rPr>
              <w:t>BV Lev</w:t>
            </w:r>
            <w:r>
              <w:rPr>
                <w:rFonts w:ascii="Times New Roman" w:eastAsiaTheme="minorEastAsia" w:hAnsi="Times New Roman" w:cs="Times New Roman"/>
                <w:sz w:val="20"/>
                <w:szCs w:val="20"/>
              </w:rPr>
              <w:t xml:space="preserve">) for firm </w:t>
            </w:r>
            <w:r>
              <w:rPr>
                <w:rFonts w:ascii="Times New Roman" w:eastAsiaTheme="minorEastAsia" w:hAnsi="Times New Roman" w:cs="Times New Roman"/>
                <w:i/>
                <w:sz w:val="20"/>
                <w:szCs w:val="20"/>
              </w:rPr>
              <w:t xml:space="preserve">i </w:t>
            </w:r>
            <w:r>
              <w:rPr>
                <w:rFonts w:ascii="Times New Roman" w:eastAsiaTheme="minorEastAsia" w:hAnsi="Times New Roman" w:cs="Times New Roman"/>
                <w:sz w:val="20"/>
                <w:szCs w:val="20"/>
              </w:rPr>
              <w:t xml:space="preserve">in year </w:t>
            </w:r>
            <w:r>
              <w:rPr>
                <w:rFonts w:ascii="Times New Roman" w:eastAsiaTheme="minorEastAsia" w:hAnsi="Times New Roman" w:cs="Times New Roman"/>
                <w:i/>
                <w:sz w:val="20"/>
                <w:szCs w:val="20"/>
              </w:rPr>
              <w:t>t</w:t>
            </w:r>
            <w:r>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tax</w:t>
            </w:r>
            <w:r>
              <w:rPr>
                <w:rFonts w:ascii="Times New Roman" w:eastAsiaTheme="minorEastAsia" w:hAnsi="Times New Roman" w:cs="Times New Roman"/>
                <w:sz w:val="20"/>
                <w:szCs w:val="20"/>
              </w:rPr>
              <w:t xml:space="preserve"> is our measure of the tax rate facing each multinational firm. The base case is in Column I and V, Graham’s </w:t>
            </w:r>
            <w:r>
              <w:rPr>
                <w:rFonts w:ascii="Times New Roman" w:eastAsiaTheme="minorEastAsia" w:hAnsi="Times New Roman" w:cs="Times New Roman"/>
                <w:i/>
                <w:sz w:val="20"/>
                <w:szCs w:val="20"/>
              </w:rPr>
              <w:t>mtr</w:t>
            </w:r>
            <w:r>
              <w:rPr>
                <w:rFonts w:ascii="Times New Roman" w:eastAsiaTheme="minorEastAsia" w:hAnsi="Times New Roman" w:cs="Times New Roman"/>
                <w:sz w:val="20"/>
                <w:szCs w:val="20"/>
              </w:rPr>
              <w:t xml:space="preserve"> in Column II and VI, Blouin, Core, and Guay’s </w:t>
            </w:r>
            <w:r>
              <w:rPr>
                <w:rFonts w:ascii="Times New Roman" w:eastAsiaTheme="minorEastAsia" w:hAnsi="Times New Roman" w:cs="Times New Roman"/>
                <w:i/>
                <w:sz w:val="20"/>
                <w:szCs w:val="20"/>
              </w:rPr>
              <w:t>bcg_mtr</w:t>
            </w:r>
            <w:r>
              <w:rPr>
                <w:rFonts w:ascii="Times New Roman" w:eastAsiaTheme="minorEastAsia" w:hAnsi="Times New Roman" w:cs="Times New Roman"/>
                <w:sz w:val="20"/>
                <w:szCs w:val="20"/>
              </w:rPr>
              <w:t xml:space="preserve"> in Column III and VII, and our new measure </w:t>
            </w:r>
            <w:r>
              <w:rPr>
                <w:rFonts w:ascii="Times New Roman" w:eastAsiaTheme="minorEastAsia" w:hAnsi="Times New Roman" w:cs="Times New Roman"/>
                <w:i/>
                <w:sz w:val="20"/>
                <w:szCs w:val="20"/>
              </w:rPr>
              <w:t>firm_efftaxrate</w:t>
            </w:r>
            <w:r>
              <w:rPr>
                <w:rFonts w:ascii="Times New Roman" w:eastAsiaTheme="minorEastAsia" w:hAnsi="Times New Roman" w:cs="Times New Roman"/>
                <w:sz w:val="20"/>
                <w:szCs w:val="20"/>
              </w:rPr>
              <w:t xml:space="preserve"> in Column IV and VIII. The independent variables include lagged sales (</w:t>
            </w:r>
            <w:r>
              <w:rPr>
                <w:rFonts w:ascii="Times New Roman" w:eastAsiaTheme="minorEastAsia" w:hAnsi="Times New Roman" w:cs="Times New Roman"/>
                <w:i/>
                <w:sz w:val="20"/>
                <w:szCs w:val="20"/>
              </w:rPr>
              <w:t>sales</w:t>
            </w:r>
            <w:r w:rsidRPr="006A5C4C">
              <w:rPr>
                <w:rFonts w:ascii="Times New Roman" w:eastAsiaTheme="minorEastAsia" w:hAnsi="Times New Roman" w:cs="Times New Roman"/>
                <w:i/>
                <w:sz w:val="20"/>
                <w:szCs w:val="20"/>
                <w:vertAlign w:val="subscript"/>
              </w:rPr>
              <w:t>i,t-1</w:t>
            </w:r>
            <w:r>
              <w:rPr>
                <w:rFonts w:ascii="Times New Roman" w:eastAsiaTheme="minorEastAsia" w:hAnsi="Times New Roman" w:cs="Times New Roman"/>
                <w:sz w:val="20"/>
                <w:szCs w:val="20"/>
              </w:rPr>
              <w:t>), a dummy variable to indicate if the firm has a credit rating (</w:t>
            </w:r>
            <w:r>
              <w:rPr>
                <w:rFonts w:ascii="Times New Roman" w:eastAsiaTheme="minorEastAsia" w:hAnsi="Times New Roman" w:cs="Times New Roman"/>
                <w:i/>
                <w:sz w:val="20"/>
                <w:szCs w:val="20"/>
              </w:rPr>
              <w:t>rated</w:t>
            </w:r>
            <w:r w:rsidRPr="006A5C4C">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property, plant, and equipment over lagged book assets (</w:t>
            </w:r>
            <w:r>
              <w:rPr>
                <w:rFonts w:ascii="Times New Roman" w:eastAsiaTheme="minorEastAsia" w:hAnsi="Times New Roman" w:cs="Times New Roman"/>
                <w:i/>
                <w:sz w:val="20"/>
                <w:szCs w:val="20"/>
              </w:rPr>
              <w:t>ppeb</w:t>
            </w:r>
            <w:r w:rsidRPr="006A5C4C">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return on assets (</w:t>
            </w:r>
            <w:r>
              <w:rPr>
                <w:rFonts w:ascii="Times New Roman" w:eastAsiaTheme="minorEastAsia" w:hAnsi="Times New Roman" w:cs="Times New Roman"/>
                <w:i/>
                <w:sz w:val="20"/>
                <w:szCs w:val="20"/>
              </w:rPr>
              <w:t>roa</w:t>
            </w:r>
            <w:r w:rsidRPr="007E1C0A">
              <w:rPr>
                <w:rFonts w:ascii="Times New Roman" w:eastAsiaTheme="minorEastAsia" w:hAnsi="Times New Roman" w:cs="Times New Roman"/>
                <w:i/>
                <w:sz w:val="20"/>
                <w:szCs w:val="20"/>
                <w:vertAlign w:val="subscript"/>
              </w:rPr>
              <w:t>i</w:t>
            </w:r>
            <w:r>
              <w:rPr>
                <w:rFonts w:ascii="Times New Roman" w:eastAsiaTheme="minorEastAsia" w:hAnsi="Times New Roman" w:cs="Times New Roman"/>
                <w:i/>
                <w:sz w:val="20"/>
                <w:szCs w:val="20"/>
                <w:vertAlign w:val="subscript"/>
              </w:rPr>
              <w:t>,</w:t>
            </w:r>
            <w:r w:rsidRPr="007E1C0A">
              <w:rPr>
                <w:rFonts w:ascii="Times New Roman" w:eastAsiaTheme="minorEastAsia" w:hAnsi="Times New Roman" w:cs="Times New Roman"/>
                <w:i/>
                <w:sz w:val="20"/>
                <w:szCs w:val="20"/>
                <w:vertAlign w:val="subscript"/>
              </w:rPr>
              <w:t>t</w:t>
            </w:r>
            <w:r>
              <w:rPr>
                <w:rFonts w:ascii="Times New Roman" w:eastAsiaTheme="minorEastAsia" w:hAnsi="Times New Roman" w:cs="Times New Roman"/>
                <w:sz w:val="20"/>
                <w:szCs w:val="20"/>
              </w:rPr>
              <w:t>), a dummy variable set to 1 if the firm pays a dividend (</w:t>
            </w:r>
            <w:r>
              <w:rPr>
                <w:rFonts w:ascii="Times New Roman" w:eastAsiaTheme="minorEastAsia" w:hAnsi="Times New Roman" w:cs="Times New Roman"/>
                <w:i/>
                <w:sz w:val="20"/>
                <w:szCs w:val="20"/>
              </w:rPr>
              <w:t>divs</w:t>
            </w:r>
            <w:r w:rsidRPr="007E1C0A">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research and development expense (</w:t>
            </w:r>
            <w:r>
              <w:rPr>
                <w:rFonts w:ascii="Times New Roman" w:eastAsiaTheme="minorEastAsia" w:hAnsi="Times New Roman" w:cs="Times New Roman"/>
                <w:i/>
                <w:sz w:val="20"/>
                <w:szCs w:val="20"/>
              </w:rPr>
              <w:t>rd</w:t>
            </w:r>
            <w:r w:rsidRPr="007E1C0A">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advertising expense (adv</w:t>
            </w:r>
            <w:r w:rsidRPr="007E1C0A">
              <w:rPr>
                <w:rFonts w:ascii="Times New Roman" w:eastAsiaTheme="minorEastAsia" w:hAnsi="Times New Roman" w:cs="Times New Roman"/>
                <w:sz w:val="20"/>
                <w:szCs w:val="20"/>
                <w:vertAlign w:val="subscript"/>
              </w:rPr>
              <w:t>i,t</w:t>
            </w:r>
            <w:r>
              <w:rPr>
                <w:rFonts w:ascii="Times New Roman" w:eastAsiaTheme="minorEastAsia" w:hAnsi="Times New Roman" w:cs="Times New Roman"/>
                <w:sz w:val="20"/>
                <w:szCs w:val="20"/>
              </w:rPr>
              <w:t>), market-to-book ratio (mb</w:t>
            </w:r>
            <w:r w:rsidRPr="007E1C0A">
              <w:rPr>
                <w:rFonts w:ascii="Times New Roman" w:eastAsiaTheme="minorEastAsia" w:hAnsi="Times New Roman" w:cs="Times New Roman"/>
                <w:sz w:val="20"/>
                <w:szCs w:val="20"/>
                <w:vertAlign w:val="subscript"/>
              </w:rPr>
              <w:t>i,t</w:t>
            </w:r>
            <w:r>
              <w:rPr>
                <w:rFonts w:ascii="Times New Roman" w:eastAsiaTheme="minorEastAsia" w:hAnsi="Times New Roman" w:cs="Times New Roman"/>
                <w:sz w:val="20"/>
                <w:szCs w:val="20"/>
              </w:rPr>
              <w:t xml:space="preserve">), and finally year dummy variables (e.g. </w:t>
            </w:r>
            <w:r>
              <w:rPr>
                <w:rFonts w:ascii="Times New Roman" w:eastAsiaTheme="minorEastAsia" w:hAnsi="Times New Roman" w:cs="Times New Roman"/>
                <w:i/>
                <w:sz w:val="20"/>
                <w:szCs w:val="20"/>
              </w:rPr>
              <w:t>dyear2007</w:t>
            </w:r>
            <w:r>
              <w:rPr>
                <w:rFonts w:ascii="Times New Roman" w:eastAsiaTheme="minorEastAsia" w:hAnsi="Times New Roman" w:cs="Times New Roman"/>
                <w:sz w:val="20"/>
                <w:szCs w:val="20"/>
              </w:rPr>
              <w:t xml:space="preserve">). Standard errors are clustered at the firm level.  Standard errors are reported in parenthesis.             </w:t>
            </w:r>
          </w:p>
          <w:p w:rsidR="00A51396" w:rsidRDefault="00A51396"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 * represent significance at the one percent, five percent, and ten percent levels, respectively.</w:t>
            </w:r>
          </w:p>
          <w:p w:rsidR="00A51396" w:rsidRDefault="00A51396" w:rsidP="00536F3E">
            <w:pPr>
              <w:rPr>
                <w:rFonts w:ascii="Times New Roman" w:eastAsiaTheme="minorEastAsia" w:hAnsi="Times New Roman" w:cs="Times New Roman"/>
                <w:sz w:val="20"/>
                <w:szCs w:val="20"/>
              </w:rPr>
            </w:pPr>
          </w:p>
          <w:p w:rsidR="00A51396" w:rsidRDefault="00A51396" w:rsidP="00536F3E">
            <w:pPr>
              <w:rPr>
                <w:rFonts w:ascii="Times New Roman" w:eastAsiaTheme="minorEastAsia" w:hAnsi="Times New Roman" w:cs="Times New Roman"/>
                <w:sz w:val="20"/>
                <w:szCs w:val="20"/>
              </w:rPr>
            </w:pPr>
          </w:p>
          <w:p w:rsidR="00A51396" w:rsidRDefault="00A51396" w:rsidP="00536F3E">
            <w:pPr>
              <w:rPr>
                <w:rFonts w:ascii="Times New Roman" w:eastAsiaTheme="minorEastAsia" w:hAnsi="Times New Roman" w:cs="Times New Roman"/>
                <w:sz w:val="20"/>
                <w:szCs w:val="20"/>
              </w:rPr>
            </w:pPr>
          </w:p>
          <w:p w:rsidR="00A51396" w:rsidRDefault="00A51396" w:rsidP="00536F3E">
            <w:pPr>
              <w:rPr>
                <w:rFonts w:ascii="Times New Roman" w:eastAsiaTheme="minorEastAsia" w:hAnsi="Times New Roman" w:cs="Times New Roman"/>
                <w:sz w:val="20"/>
                <w:szCs w:val="20"/>
              </w:rPr>
            </w:pPr>
          </w:p>
          <w:p w:rsidR="00A51396" w:rsidRDefault="00A51396" w:rsidP="00536F3E">
            <w:pPr>
              <w:rPr>
                <w:rFonts w:ascii="Times New Roman" w:hAnsi="Times New Roman" w:cs="Times New Roman"/>
                <w:b/>
                <w:sz w:val="20"/>
                <w:szCs w:val="20"/>
              </w:rPr>
            </w:pPr>
          </w:p>
          <w:p w:rsidR="00A51396" w:rsidRDefault="00A51396" w:rsidP="00536F3E">
            <w:pPr>
              <w:rPr>
                <w:rFonts w:ascii="Times New Roman" w:hAnsi="Times New Roman" w:cs="Times New Roman"/>
                <w:b/>
                <w:sz w:val="20"/>
                <w:szCs w:val="20"/>
              </w:rPr>
            </w:pPr>
          </w:p>
          <w:p w:rsidR="00A51396" w:rsidRPr="00606CEE" w:rsidRDefault="00A51396" w:rsidP="00536F3E">
            <w:pPr>
              <w:rPr>
                <w:rFonts w:ascii="Times New Roman" w:hAnsi="Times New Roman" w:cs="Times New Roman"/>
                <w:b/>
                <w:sz w:val="20"/>
                <w:szCs w:val="20"/>
              </w:rPr>
            </w:pPr>
          </w:p>
        </w:tc>
      </w:tr>
      <w:tr w:rsidR="00A51396" w:rsidTr="00536F3E">
        <w:tc>
          <w:tcPr>
            <w:tcW w:w="1789" w:type="dxa"/>
            <w:tcBorders>
              <w:top w:val="single" w:sz="4" w:space="0" w:color="auto"/>
              <w:left w:val="nil"/>
              <w:bottom w:val="single" w:sz="4" w:space="0" w:color="auto"/>
              <w:right w:val="nil"/>
            </w:tcBorders>
          </w:tcPr>
          <w:p w:rsidR="00A51396" w:rsidRDefault="00A51396" w:rsidP="00536F3E"/>
        </w:tc>
        <w:tc>
          <w:tcPr>
            <w:tcW w:w="1587" w:type="dxa"/>
            <w:tcBorders>
              <w:top w:val="single" w:sz="4" w:space="0" w:color="auto"/>
              <w:left w:val="nil"/>
              <w:bottom w:val="single" w:sz="4" w:space="0" w:color="auto"/>
              <w:right w:val="nil"/>
            </w:tcBorders>
          </w:tcPr>
          <w:p w:rsidR="00A51396" w:rsidRDefault="00A51396" w:rsidP="00536F3E">
            <w:pPr>
              <w:jc w:val="center"/>
            </w:pPr>
            <w:r>
              <w:t>I</w:t>
            </w:r>
          </w:p>
        </w:tc>
        <w:tc>
          <w:tcPr>
            <w:tcW w:w="1587" w:type="dxa"/>
            <w:tcBorders>
              <w:top w:val="single" w:sz="4" w:space="0" w:color="auto"/>
              <w:left w:val="nil"/>
              <w:bottom w:val="single" w:sz="4" w:space="0" w:color="auto"/>
              <w:right w:val="nil"/>
            </w:tcBorders>
          </w:tcPr>
          <w:p w:rsidR="00A51396" w:rsidRDefault="00A51396" w:rsidP="00536F3E">
            <w:pPr>
              <w:jc w:val="center"/>
            </w:pPr>
            <w:r>
              <w:t>II</w:t>
            </w:r>
          </w:p>
        </w:tc>
        <w:tc>
          <w:tcPr>
            <w:tcW w:w="1587" w:type="dxa"/>
            <w:tcBorders>
              <w:top w:val="single" w:sz="4" w:space="0" w:color="auto"/>
              <w:left w:val="nil"/>
              <w:bottom w:val="single" w:sz="4" w:space="0" w:color="auto"/>
              <w:right w:val="nil"/>
            </w:tcBorders>
          </w:tcPr>
          <w:p w:rsidR="00A51396" w:rsidRDefault="00A51396" w:rsidP="00536F3E">
            <w:pPr>
              <w:jc w:val="center"/>
            </w:pPr>
            <w:r>
              <w:t>III</w:t>
            </w:r>
          </w:p>
        </w:tc>
        <w:tc>
          <w:tcPr>
            <w:tcW w:w="1586" w:type="dxa"/>
            <w:tcBorders>
              <w:top w:val="single" w:sz="4" w:space="0" w:color="auto"/>
              <w:left w:val="nil"/>
              <w:bottom w:val="single" w:sz="4" w:space="0" w:color="auto"/>
              <w:right w:val="nil"/>
            </w:tcBorders>
          </w:tcPr>
          <w:p w:rsidR="00A51396" w:rsidRDefault="00A51396" w:rsidP="00536F3E">
            <w:pPr>
              <w:jc w:val="center"/>
            </w:pPr>
            <w:r>
              <w:t>IV</w:t>
            </w:r>
          </w:p>
        </w:tc>
        <w:tc>
          <w:tcPr>
            <w:tcW w:w="1260" w:type="dxa"/>
            <w:tcBorders>
              <w:top w:val="single" w:sz="4" w:space="0" w:color="auto"/>
              <w:left w:val="nil"/>
              <w:bottom w:val="single" w:sz="4" w:space="0" w:color="auto"/>
              <w:right w:val="nil"/>
            </w:tcBorders>
          </w:tcPr>
          <w:p w:rsidR="00A51396" w:rsidRDefault="00A51396" w:rsidP="00536F3E">
            <w:pPr>
              <w:jc w:val="center"/>
            </w:pPr>
            <w:r>
              <w:t>V</w:t>
            </w:r>
          </w:p>
        </w:tc>
        <w:tc>
          <w:tcPr>
            <w:tcW w:w="1260" w:type="dxa"/>
            <w:tcBorders>
              <w:top w:val="single" w:sz="4" w:space="0" w:color="auto"/>
              <w:left w:val="nil"/>
              <w:bottom w:val="single" w:sz="4" w:space="0" w:color="auto"/>
              <w:right w:val="nil"/>
            </w:tcBorders>
          </w:tcPr>
          <w:p w:rsidR="00A51396" w:rsidRDefault="00A51396" w:rsidP="00536F3E">
            <w:pPr>
              <w:jc w:val="center"/>
            </w:pPr>
            <w:r>
              <w:t>VI</w:t>
            </w:r>
          </w:p>
        </w:tc>
        <w:tc>
          <w:tcPr>
            <w:tcW w:w="1260" w:type="dxa"/>
            <w:tcBorders>
              <w:top w:val="single" w:sz="4" w:space="0" w:color="auto"/>
              <w:left w:val="nil"/>
              <w:bottom w:val="single" w:sz="4" w:space="0" w:color="auto"/>
              <w:right w:val="nil"/>
            </w:tcBorders>
          </w:tcPr>
          <w:p w:rsidR="00A51396" w:rsidRDefault="00A51396" w:rsidP="00536F3E">
            <w:pPr>
              <w:jc w:val="center"/>
            </w:pPr>
            <w:r>
              <w:t>VII</w:t>
            </w:r>
          </w:p>
        </w:tc>
        <w:tc>
          <w:tcPr>
            <w:tcW w:w="1260" w:type="dxa"/>
            <w:tcBorders>
              <w:top w:val="single" w:sz="4" w:space="0" w:color="auto"/>
              <w:left w:val="nil"/>
              <w:bottom w:val="single" w:sz="4" w:space="0" w:color="auto"/>
              <w:right w:val="nil"/>
            </w:tcBorders>
          </w:tcPr>
          <w:p w:rsidR="00A51396" w:rsidRDefault="00A51396" w:rsidP="00536F3E">
            <w:pPr>
              <w:jc w:val="center"/>
            </w:pPr>
            <w:r>
              <w:t>VIII</w:t>
            </w:r>
          </w:p>
        </w:tc>
      </w:tr>
      <w:tr w:rsidR="00A51396" w:rsidTr="00536F3E">
        <w:tc>
          <w:tcPr>
            <w:tcW w:w="1789" w:type="dxa"/>
            <w:tcBorders>
              <w:top w:val="nil"/>
              <w:left w:val="nil"/>
              <w:bottom w:val="nil"/>
              <w:right w:val="nil"/>
            </w:tcBorders>
          </w:tcPr>
          <w:p w:rsidR="00A51396" w:rsidRDefault="00A51396" w:rsidP="00536F3E">
            <w:pPr>
              <w:rPr>
                <w:rFonts w:ascii="Times New Roman" w:hAnsi="Times New Roman" w:cs="Times New Roman"/>
                <w:i/>
                <w:sz w:val="20"/>
                <w:szCs w:val="20"/>
                <w:vertAlign w:val="subscript"/>
              </w:rPr>
            </w:pPr>
            <w:r w:rsidRPr="0075597C">
              <w:rPr>
                <w:rFonts w:ascii="Times New Roman" w:hAnsi="Times New Roman" w:cs="Times New Roman"/>
                <w:i/>
                <w:sz w:val="20"/>
                <w:szCs w:val="20"/>
              </w:rPr>
              <w:t>Mtr</w:t>
            </w:r>
            <w:r w:rsidRPr="0075597C">
              <w:rPr>
                <w:rFonts w:ascii="Times New Roman" w:hAnsi="Times New Roman" w:cs="Times New Roman"/>
                <w:i/>
                <w:sz w:val="20"/>
                <w:szCs w:val="20"/>
                <w:vertAlign w:val="subscript"/>
              </w:rPr>
              <w:t>i,t</w:t>
            </w:r>
          </w:p>
          <w:p w:rsidR="00A51396" w:rsidRPr="0075597C" w:rsidRDefault="00A51396" w:rsidP="00536F3E">
            <w:pPr>
              <w:rPr>
                <w:rFonts w:ascii="Times New Roman" w:hAnsi="Times New Roman" w:cs="Times New Roman"/>
                <w:i/>
                <w:sz w:val="20"/>
                <w:szCs w:val="20"/>
              </w:rPr>
            </w:pPr>
          </w:p>
        </w:tc>
        <w:tc>
          <w:tcPr>
            <w:tcW w:w="1587"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-0.3792***</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(0.0729</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586"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-0.6834***</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(0.1148</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r>
      <w:tr w:rsidR="00A51396" w:rsidTr="00536F3E">
        <w:tc>
          <w:tcPr>
            <w:tcW w:w="1789" w:type="dxa"/>
            <w:tcBorders>
              <w:top w:val="nil"/>
              <w:left w:val="nil"/>
              <w:bottom w:val="nil"/>
              <w:right w:val="nil"/>
            </w:tcBorders>
          </w:tcPr>
          <w:p w:rsidR="00A51396" w:rsidRDefault="00A51396" w:rsidP="00536F3E">
            <w:pPr>
              <w:rPr>
                <w:rFonts w:ascii="Times New Roman" w:hAnsi="Times New Roman" w:cs="Times New Roman"/>
                <w:i/>
                <w:sz w:val="20"/>
                <w:szCs w:val="20"/>
                <w:vertAlign w:val="subscript"/>
              </w:rPr>
            </w:pPr>
            <w:r>
              <w:rPr>
                <w:rFonts w:ascii="Times New Roman" w:hAnsi="Times New Roman" w:cs="Times New Roman"/>
                <w:i/>
                <w:sz w:val="20"/>
                <w:szCs w:val="20"/>
              </w:rPr>
              <w:t>Bcg_mtr</w:t>
            </w:r>
            <w:r w:rsidRPr="00AB0CE3">
              <w:rPr>
                <w:rFonts w:ascii="Times New Roman" w:hAnsi="Times New Roman" w:cs="Times New Roman"/>
                <w:i/>
                <w:sz w:val="20"/>
                <w:szCs w:val="20"/>
                <w:vertAlign w:val="subscript"/>
              </w:rPr>
              <w:t>i,t</w:t>
            </w:r>
          </w:p>
          <w:p w:rsidR="00A51396" w:rsidRPr="0075597C" w:rsidRDefault="00A51396" w:rsidP="00536F3E">
            <w:pPr>
              <w:rPr>
                <w:rFonts w:ascii="Times New Roman" w:hAnsi="Times New Roman" w:cs="Times New Roman"/>
                <w:i/>
                <w:sz w:val="20"/>
                <w:szCs w:val="20"/>
              </w:rPr>
            </w:pPr>
          </w:p>
        </w:tc>
        <w:tc>
          <w:tcPr>
            <w:tcW w:w="1587"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-0.3620***</w:t>
            </w:r>
          </w:p>
          <w:p w:rsidR="00A51396" w:rsidRPr="00954DE4"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(0.1395</w:t>
            </w:r>
            <w:r w:rsidRPr="00954DE4">
              <w:rPr>
                <w:rFonts w:ascii="Times New Roman" w:hAnsi="Times New Roman" w:cs="Times New Roman"/>
                <w:sz w:val="28"/>
                <w:szCs w:val="20"/>
                <w:vertAlign w:val="superscript"/>
              </w:rPr>
              <w:t>)</w:t>
            </w:r>
          </w:p>
        </w:tc>
        <w:tc>
          <w:tcPr>
            <w:tcW w:w="1586"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-0.4994***</w:t>
            </w:r>
          </w:p>
          <w:p w:rsidR="00A51396" w:rsidRPr="00954DE4"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(0.1483</w:t>
            </w:r>
            <w:r w:rsidRPr="00954DE4">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r>
      <w:tr w:rsidR="00A51396" w:rsidTr="00536F3E">
        <w:tc>
          <w:tcPr>
            <w:tcW w:w="1789" w:type="dxa"/>
            <w:tcBorders>
              <w:top w:val="nil"/>
              <w:left w:val="nil"/>
              <w:bottom w:val="nil"/>
              <w:right w:val="nil"/>
            </w:tcBorders>
          </w:tcPr>
          <w:p w:rsidR="00A51396" w:rsidRDefault="00A51396" w:rsidP="00536F3E">
            <w:pPr>
              <w:rPr>
                <w:rFonts w:ascii="Times New Roman" w:hAnsi="Times New Roman" w:cs="Times New Roman"/>
                <w:i/>
                <w:sz w:val="20"/>
                <w:szCs w:val="20"/>
                <w:vertAlign w:val="subscript"/>
              </w:rPr>
            </w:pPr>
            <w:r>
              <w:rPr>
                <w:rFonts w:ascii="Times New Roman" w:hAnsi="Times New Roman" w:cs="Times New Roman"/>
                <w:i/>
                <w:sz w:val="20"/>
                <w:szCs w:val="20"/>
              </w:rPr>
              <w:t>Firm_efftaxrate</w:t>
            </w:r>
            <w:r w:rsidRPr="00AB0CE3">
              <w:rPr>
                <w:rFonts w:ascii="Times New Roman" w:hAnsi="Times New Roman" w:cs="Times New Roman"/>
                <w:i/>
                <w:sz w:val="20"/>
                <w:szCs w:val="20"/>
                <w:vertAlign w:val="subscript"/>
              </w:rPr>
              <w:t>i,t</w:t>
            </w:r>
          </w:p>
          <w:p w:rsidR="00A51396" w:rsidRDefault="00A51396" w:rsidP="00536F3E">
            <w:pPr>
              <w:rPr>
                <w:rFonts w:ascii="Times New Roman" w:hAnsi="Times New Roman" w:cs="Times New Roman"/>
                <w:i/>
                <w:sz w:val="20"/>
                <w:szCs w:val="20"/>
              </w:rPr>
            </w:pPr>
          </w:p>
        </w:tc>
        <w:tc>
          <w:tcPr>
            <w:tcW w:w="1587"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586"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0.3215***</w:t>
            </w:r>
          </w:p>
          <w:p w:rsidR="00A51396" w:rsidRPr="00D02300"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(0.1065</w:t>
            </w:r>
            <w:r w:rsidRPr="00D02300">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0.5940***</w:t>
            </w:r>
          </w:p>
          <w:p w:rsidR="00A51396" w:rsidRPr="00D02300"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(0.1763</w:t>
            </w:r>
            <w:r w:rsidRPr="00D02300">
              <w:rPr>
                <w:rFonts w:ascii="Times New Roman" w:hAnsi="Times New Roman" w:cs="Times New Roman"/>
                <w:sz w:val="28"/>
                <w:szCs w:val="20"/>
                <w:vertAlign w:val="superscript"/>
              </w:rPr>
              <w:t>)</w:t>
            </w:r>
          </w:p>
        </w:tc>
      </w:tr>
      <w:tr w:rsidR="00A51396" w:rsidTr="00536F3E">
        <w:tc>
          <w:tcPr>
            <w:tcW w:w="1789" w:type="dxa"/>
            <w:tcBorders>
              <w:top w:val="nil"/>
              <w:left w:val="nil"/>
              <w:bottom w:val="nil"/>
              <w:right w:val="nil"/>
            </w:tcBorders>
          </w:tcPr>
          <w:p w:rsidR="00A51396" w:rsidRDefault="00A51396" w:rsidP="00536F3E">
            <w:pPr>
              <w:rPr>
                <w:rFonts w:ascii="Times New Roman" w:hAnsi="Times New Roman" w:cs="Times New Roman"/>
                <w:i/>
                <w:sz w:val="20"/>
                <w:szCs w:val="20"/>
                <w:vertAlign w:val="subscript"/>
              </w:rPr>
            </w:pPr>
            <w:r>
              <w:rPr>
                <w:rFonts w:ascii="Times New Roman" w:hAnsi="Times New Roman" w:cs="Times New Roman"/>
                <w:i/>
                <w:sz w:val="20"/>
                <w:szCs w:val="20"/>
              </w:rPr>
              <w:t>Sales</w:t>
            </w:r>
            <w:r w:rsidRPr="009A001F">
              <w:rPr>
                <w:rFonts w:ascii="Times New Roman" w:hAnsi="Times New Roman" w:cs="Times New Roman"/>
                <w:i/>
                <w:sz w:val="20"/>
                <w:szCs w:val="20"/>
                <w:vertAlign w:val="subscript"/>
              </w:rPr>
              <w:t>i,t-1</w:t>
            </w:r>
          </w:p>
          <w:p w:rsidR="00A51396" w:rsidRDefault="00A51396" w:rsidP="00536F3E">
            <w:pPr>
              <w:rPr>
                <w:rFonts w:ascii="Times New Roman" w:hAnsi="Times New Roman" w:cs="Times New Roman"/>
                <w:i/>
                <w:sz w:val="20"/>
                <w:szCs w:val="20"/>
              </w:rPr>
            </w:pP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0.0063</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(0.0054</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0.0108**</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(0.0053</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0.0108**</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(0.0055</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0.0086</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(0.0054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-0.0007</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(0.0070</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0.0088</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(0.0071</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0.0074</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0.0030</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(0.0071</w:t>
            </w:r>
            <w:r w:rsidRPr="00AB0CE3">
              <w:rPr>
                <w:rFonts w:ascii="Times New Roman" w:hAnsi="Times New Roman" w:cs="Times New Roman"/>
                <w:sz w:val="28"/>
                <w:szCs w:val="20"/>
                <w:vertAlign w:val="superscript"/>
              </w:rPr>
              <w:t>)</w:t>
            </w:r>
          </w:p>
        </w:tc>
      </w:tr>
      <w:tr w:rsidR="00A51396" w:rsidTr="00536F3E">
        <w:tc>
          <w:tcPr>
            <w:tcW w:w="1789" w:type="dxa"/>
            <w:tcBorders>
              <w:top w:val="nil"/>
              <w:left w:val="nil"/>
              <w:bottom w:val="nil"/>
              <w:right w:val="nil"/>
            </w:tcBorders>
          </w:tcPr>
          <w:p w:rsidR="00A51396" w:rsidRDefault="00A51396" w:rsidP="00536F3E">
            <w:pPr>
              <w:rPr>
                <w:rFonts w:ascii="Times New Roman" w:hAnsi="Times New Roman" w:cs="Times New Roman"/>
                <w:i/>
                <w:sz w:val="20"/>
                <w:szCs w:val="20"/>
                <w:vertAlign w:val="subscript"/>
              </w:rPr>
            </w:pPr>
            <w:r>
              <w:rPr>
                <w:rFonts w:ascii="Times New Roman" w:hAnsi="Times New Roman" w:cs="Times New Roman"/>
                <w:i/>
                <w:sz w:val="20"/>
                <w:szCs w:val="20"/>
              </w:rPr>
              <w:t>Rated</w:t>
            </w:r>
            <w:r w:rsidRPr="009A001F">
              <w:rPr>
                <w:rFonts w:ascii="Times New Roman" w:hAnsi="Times New Roman" w:cs="Times New Roman"/>
                <w:i/>
                <w:sz w:val="20"/>
                <w:szCs w:val="20"/>
                <w:vertAlign w:val="subscript"/>
              </w:rPr>
              <w:t>i,t</w:t>
            </w:r>
          </w:p>
          <w:p w:rsidR="00A51396" w:rsidRDefault="00A51396" w:rsidP="00536F3E">
            <w:pPr>
              <w:rPr>
                <w:rFonts w:ascii="Times New Roman" w:hAnsi="Times New Roman" w:cs="Times New Roman"/>
                <w:i/>
                <w:sz w:val="20"/>
                <w:szCs w:val="20"/>
              </w:rPr>
            </w:pP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0.1978</w:t>
            </w:r>
            <w:r w:rsidRPr="00954DE4">
              <w:rPr>
                <w:rFonts w:ascii="Times New Roman" w:hAnsi="Times New Roman" w:cs="Times New Roman"/>
                <w:sz w:val="20"/>
                <w:szCs w:val="20"/>
              </w:rPr>
              <w:t>***</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(0.0197</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0.1956***</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(0.0195</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0.1985***</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(0.0198</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0.1967***</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(0.0195</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0.2108</w:t>
            </w:r>
            <w:r w:rsidRPr="00954DE4">
              <w:rPr>
                <w:rFonts w:ascii="Times New Roman" w:hAnsi="Times New Roman" w:cs="Times New Roman"/>
                <w:sz w:val="20"/>
                <w:szCs w:val="20"/>
              </w:rPr>
              <w:t>***</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(0.0315</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0.2069***</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(0.0310</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0.2092***</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(0.0313</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0.2135***</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(0.0313</w:t>
            </w:r>
            <w:r w:rsidRPr="00AB0CE3">
              <w:rPr>
                <w:rFonts w:ascii="Times New Roman" w:hAnsi="Times New Roman" w:cs="Times New Roman"/>
                <w:sz w:val="28"/>
                <w:szCs w:val="20"/>
                <w:vertAlign w:val="superscript"/>
              </w:rPr>
              <w:t>)</w:t>
            </w:r>
          </w:p>
        </w:tc>
      </w:tr>
      <w:tr w:rsidR="00A51396" w:rsidTr="00536F3E">
        <w:tc>
          <w:tcPr>
            <w:tcW w:w="1789" w:type="dxa"/>
            <w:tcBorders>
              <w:top w:val="nil"/>
              <w:left w:val="nil"/>
              <w:bottom w:val="nil"/>
              <w:right w:val="nil"/>
            </w:tcBorders>
          </w:tcPr>
          <w:p w:rsidR="00A51396" w:rsidRDefault="00A51396" w:rsidP="00536F3E">
            <w:pPr>
              <w:rPr>
                <w:rFonts w:ascii="Times New Roman" w:hAnsi="Times New Roman" w:cs="Times New Roman"/>
                <w:i/>
                <w:sz w:val="20"/>
                <w:szCs w:val="20"/>
                <w:vertAlign w:val="subscript"/>
              </w:rPr>
            </w:pPr>
            <w:r>
              <w:rPr>
                <w:rFonts w:ascii="Times New Roman" w:hAnsi="Times New Roman" w:cs="Times New Roman"/>
                <w:i/>
                <w:sz w:val="20"/>
                <w:szCs w:val="20"/>
              </w:rPr>
              <w:t>Ppeb</w:t>
            </w:r>
            <w:r w:rsidRPr="009A001F">
              <w:rPr>
                <w:rFonts w:ascii="Times New Roman" w:hAnsi="Times New Roman" w:cs="Times New Roman"/>
                <w:i/>
                <w:sz w:val="20"/>
                <w:szCs w:val="20"/>
                <w:vertAlign w:val="subscript"/>
              </w:rPr>
              <w:t>i,t</w:t>
            </w:r>
          </w:p>
          <w:p w:rsidR="00A51396" w:rsidRDefault="00A51396" w:rsidP="00536F3E">
            <w:pPr>
              <w:rPr>
                <w:rFonts w:ascii="Times New Roman" w:hAnsi="Times New Roman" w:cs="Times New Roman"/>
                <w:i/>
                <w:sz w:val="20"/>
                <w:szCs w:val="20"/>
              </w:rPr>
            </w:pP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0.2657</w:t>
            </w:r>
            <w:r w:rsidRPr="00954DE4">
              <w:rPr>
                <w:rFonts w:ascii="Times New Roman" w:hAnsi="Times New Roman" w:cs="Times New Roman"/>
                <w:sz w:val="20"/>
                <w:szCs w:val="20"/>
              </w:rPr>
              <w:t>***</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(0.0441</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0.2473***</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(0.0438</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0.2588***</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(0.0440</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0.2599***</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(0.0440</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0.3932</w:t>
            </w:r>
            <w:r w:rsidRPr="00954DE4">
              <w:rPr>
                <w:rFonts w:ascii="Times New Roman" w:hAnsi="Times New Roman" w:cs="Times New Roman"/>
                <w:sz w:val="20"/>
                <w:szCs w:val="20"/>
              </w:rPr>
              <w:t>***</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(0.0553</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0.3551***</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(0.0549</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0.3897***</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(0.0551</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0.3793***</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(0.0552</w:t>
            </w:r>
            <w:r w:rsidRPr="00AB0CE3">
              <w:rPr>
                <w:rFonts w:ascii="Times New Roman" w:hAnsi="Times New Roman" w:cs="Times New Roman"/>
                <w:sz w:val="28"/>
                <w:szCs w:val="20"/>
                <w:vertAlign w:val="superscript"/>
              </w:rPr>
              <w:t>)</w:t>
            </w:r>
          </w:p>
        </w:tc>
      </w:tr>
      <w:tr w:rsidR="00A51396" w:rsidTr="00536F3E">
        <w:tc>
          <w:tcPr>
            <w:tcW w:w="1789" w:type="dxa"/>
            <w:tcBorders>
              <w:top w:val="nil"/>
              <w:left w:val="nil"/>
              <w:bottom w:val="nil"/>
              <w:right w:val="nil"/>
            </w:tcBorders>
          </w:tcPr>
          <w:p w:rsidR="00A51396" w:rsidRDefault="00A51396" w:rsidP="00536F3E">
            <w:pPr>
              <w:rPr>
                <w:rFonts w:ascii="Times New Roman" w:hAnsi="Times New Roman" w:cs="Times New Roman"/>
                <w:i/>
                <w:sz w:val="20"/>
                <w:szCs w:val="20"/>
                <w:vertAlign w:val="subscript"/>
              </w:rPr>
            </w:pPr>
            <w:r>
              <w:rPr>
                <w:rFonts w:ascii="Times New Roman" w:hAnsi="Times New Roman" w:cs="Times New Roman"/>
                <w:i/>
                <w:sz w:val="20"/>
                <w:szCs w:val="20"/>
              </w:rPr>
              <w:t>Roa</w:t>
            </w:r>
            <w:r w:rsidRPr="009A001F">
              <w:rPr>
                <w:rFonts w:ascii="Times New Roman" w:hAnsi="Times New Roman" w:cs="Times New Roman"/>
                <w:i/>
                <w:sz w:val="20"/>
                <w:szCs w:val="20"/>
                <w:vertAlign w:val="subscript"/>
              </w:rPr>
              <w:t>i,t</w:t>
            </w:r>
          </w:p>
          <w:p w:rsidR="00A51396" w:rsidRDefault="00A51396" w:rsidP="00536F3E">
            <w:pPr>
              <w:rPr>
                <w:rFonts w:ascii="Times New Roman" w:hAnsi="Times New Roman" w:cs="Times New Roman"/>
                <w:i/>
                <w:sz w:val="20"/>
                <w:szCs w:val="20"/>
              </w:rPr>
            </w:pP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-0.3365</w:t>
            </w:r>
            <w:r w:rsidRPr="00954DE4">
              <w:rPr>
                <w:rFonts w:ascii="Times New Roman" w:hAnsi="Times New Roman" w:cs="Times New Roman"/>
                <w:sz w:val="20"/>
                <w:szCs w:val="20"/>
              </w:rPr>
              <w:t>*</w:t>
            </w:r>
            <w:r>
              <w:rPr>
                <w:rFonts w:ascii="Times New Roman" w:hAnsi="Times New Roman" w:cs="Times New Roman"/>
                <w:sz w:val="20"/>
                <w:szCs w:val="20"/>
              </w:rPr>
              <w:t>**</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(0.1195</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-0.2308*</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(0.1185</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-0.2548**</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(0.1210</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-0.3476***</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(0.1205</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-0.3020</w:t>
            </w:r>
            <w:r w:rsidRPr="00954DE4">
              <w:rPr>
                <w:rFonts w:ascii="Times New Roman" w:hAnsi="Times New Roman" w:cs="Times New Roman"/>
                <w:sz w:val="20"/>
                <w:szCs w:val="20"/>
              </w:rPr>
              <w:t>*</w:t>
            </w:r>
            <w:r>
              <w:rPr>
                <w:rFonts w:ascii="Times New Roman" w:hAnsi="Times New Roman" w:cs="Times New Roman"/>
                <w:sz w:val="20"/>
                <w:szCs w:val="20"/>
              </w:rPr>
              <w:t>**</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(0.0962</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-0.1028</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(0.1006</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-0.1769*</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(0.1028</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-0.3253***</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(0.0961</w:t>
            </w:r>
            <w:r w:rsidRPr="00AB0CE3">
              <w:rPr>
                <w:rFonts w:ascii="Times New Roman" w:hAnsi="Times New Roman" w:cs="Times New Roman"/>
                <w:sz w:val="28"/>
                <w:szCs w:val="20"/>
                <w:vertAlign w:val="superscript"/>
              </w:rPr>
              <w:t>)</w:t>
            </w:r>
          </w:p>
        </w:tc>
      </w:tr>
      <w:tr w:rsidR="00A51396" w:rsidTr="00536F3E">
        <w:tc>
          <w:tcPr>
            <w:tcW w:w="1789" w:type="dxa"/>
            <w:tcBorders>
              <w:top w:val="nil"/>
              <w:left w:val="nil"/>
              <w:bottom w:val="nil"/>
              <w:right w:val="nil"/>
            </w:tcBorders>
          </w:tcPr>
          <w:p w:rsidR="00A51396" w:rsidRDefault="00A51396" w:rsidP="00536F3E">
            <w:pPr>
              <w:rPr>
                <w:rFonts w:ascii="Times New Roman" w:hAnsi="Times New Roman" w:cs="Times New Roman"/>
                <w:i/>
                <w:sz w:val="20"/>
                <w:szCs w:val="20"/>
                <w:vertAlign w:val="subscript"/>
              </w:rPr>
            </w:pPr>
            <w:r>
              <w:rPr>
                <w:rFonts w:ascii="Times New Roman" w:hAnsi="Times New Roman" w:cs="Times New Roman"/>
                <w:i/>
                <w:sz w:val="20"/>
                <w:szCs w:val="20"/>
              </w:rPr>
              <w:t>Divs</w:t>
            </w:r>
            <w:r w:rsidRPr="009A001F">
              <w:rPr>
                <w:rFonts w:ascii="Times New Roman" w:hAnsi="Times New Roman" w:cs="Times New Roman"/>
                <w:i/>
                <w:sz w:val="20"/>
                <w:szCs w:val="20"/>
                <w:vertAlign w:val="subscript"/>
              </w:rPr>
              <w:t>i,t</w:t>
            </w:r>
          </w:p>
          <w:p w:rsidR="00A51396" w:rsidRDefault="00A51396" w:rsidP="00536F3E">
            <w:pPr>
              <w:rPr>
                <w:rFonts w:ascii="Times New Roman" w:hAnsi="Times New Roman" w:cs="Times New Roman"/>
                <w:i/>
                <w:sz w:val="20"/>
                <w:szCs w:val="20"/>
              </w:rPr>
            </w:pP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-0.0282*</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(0.0148</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-0.0151</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(0.0148</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-0.0225</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(0.0151</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-0.0305**</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(0.0148</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-0.0407*</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(0.0224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-0.0177</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(0.0225</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-0.0293</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(0.0226</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-0.0470**</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(0.0224</w:t>
            </w:r>
            <w:r w:rsidRPr="00AB0CE3">
              <w:rPr>
                <w:rFonts w:ascii="Times New Roman" w:hAnsi="Times New Roman" w:cs="Times New Roman"/>
                <w:sz w:val="28"/>
                <w:szCs w:val="20"/>
                <w:vertAlign w:val="superscript"/>
              </w:rPr>
              <w:t>)</w:t>
            </w:r>
          </w:p>
        </w:tc>
      </w:tr>
      <w:tr w:rsidR="00A51396" w:rsidTr="00536F3E">
        <w:tc>
          <w:tcPr>
            <w:tcW w:w="1789" w:type="dxa"/>
            <w:tcBorders>
              <w:top w:val="nil"/>
              <w:left w:val="nil"/>
              <w:bottom w:val="nil"/>
              <w:right w:val="nil"/>
            </w:tcBorders>
          </w:tcPr>
          <w:p w:rsidR="00A51396" w:rsidRDefault="00A51396" w:rsidP="00536F3E">
            <w:pPr>
              <w:rPr>
                <w:rFonts w:ascii="Times New Roman" w:hAnsi="Times New Roman" w:cs="Times New Roman"/>
                <w:i/>
                <w:sz w:val="20"/>
                <w:szCs w:val="20"/>
                <w:vertAlign w:val="subscript"/>
              </w:rPr>
            </w:pPr>
            <w:r>
              <w:rPr>
                <w:rFonts w:ascii="Times New Roman" w:hAnsi="Times New Roman" w:cs="Times New Roman"/>
                <w:i/>
                <w:sz w:val="20"/>
                <w:szCs w:val="20"/>
              </w:rPr>
              <w:t>Rd</w:t>
            </w:r>
            <w:r w:rsidRPr="009A001F">
              <w:rPr>
                <w:rFonts w:ascii="Times New Roman" w:hAnsi="Times New Roman" w:cs="Times New Roman"/>
                <w:i/>
                <w:sz w:val="20"/>
                <w:szCs w:val="20"/>
                <w:vertAlign w:val="subscript"/>
              </w:rPr>
              <w:t>i,t</w:t>
            </w:r>
          </w:p>
          <w:p w:rsidR="00A51396" w:rsidRDefault="00A51396" w:rsidP="00536F3E">
            <w:pPr>
              <w:rPr>
                <w:rFonts w:ascii="Times New Roman" w:hAnsi="Times New Roman" w:cs="Times New Roman"/>
                <w:i/>
                <w:sz w:val="20"/>
                <w:szCs w:val="20"/>
              </w:rPr>
            </w:pP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0.0367</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(0.0589</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0.0229</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(0.0598</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0.0236</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(0.0605</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0.0424</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(0.0572</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0.0089</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(0.0505</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-0.0100</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(0.0499</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-0.0032</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(0.0504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0.0161</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(0.0503</w:t>
            </w:r>
            <w:r w:rsidRPr="00AB0CE3">
              <w:rPr>
                <w:rFonts w:ascii="Times New Roman" w:hAnsi="Times New Roman" w:cs="Times New Roman"/>
                <w:sz w:val="28"/>
                <w:szCs w:val="20"/>
                <w:vertAlign w:val="superscript"/>
              </w:rPr>
              <w:t>)</w:t>
            </w:r>
          </w:p>
        </w:tc>
      </w:tr>
      <w:tr w:rsidR="00A51396" w:rsidTr="00536F3E">
        <w:tc>
          <w:tcPr>
            <w:tcW w:w="1789" w:type="dxa"/>
            <w:tcBorders>
              <w:top w:val="nil"/>
              <w:left w:val="nil"/>
              <w:bottom w:val="nil"/>
              <w:right w:val="nil"/>
            </w:tcBorders>
          </w:tcPr>
          <w:p w:rsidR="00A51396" w:rsidRDefault="00A51396" w:rsidP="00536F3E">
            <w:pPr>
              <w:rPr>
                <w:rFonts w:ascii="Times New Roman" w:hAnsi="Times New Roman" w:cs="Times New Roman"/>
                <w:i/>
                <w:sz w:val="20"/>
                <w:szCs w:val="20"/>
                <w:vertAlign w:val="subscript"/>
              </w:rPr>
            </w:pPr>
            <w:r>
              <w:rPr>
                <w:rFonts w:ascii="Times New Roman" w:hAnsi="Times New Roman" w:cs="Times New Roman"/>
                <w:i/>
                <w:sz w:val="20"/>
                <w:szCs w:val="20"/>
              </w:rPr>
              <w:t>Adv</w:t>
            </w:r>
            <w:r w:rsidRPr="009A001F">
              <w:rPr>
                <w:rFonts w:ascii="Times New Roman" w:hAnsi="Times New Roman" w:cs="Times New Roman"/>
                <w:i/>
                <w:sz w:val="20"/>
                <w:szCs w:val="20"/>
                <w:vertAlign w:val="subscript"/>
              </w:rPr>
              <w:t>i,t</w:t>
            </w:r>
          </w:p>
          <w:p w:rsidR="00A51396" w:rsidRDefault="00A51396" w:rsidP="00536F3E">
            <w:pPr>
              <w:rPr>
                <w:rFonts w:ascii="Times New Roman" w:hAnsi="Times New Roman" w:cs="Times New Roman"/>
                <w:i/>
                <w:sz w:val="20"/>
                <w:szCs w:val="20"/>
              </w:rPr>
            </w:pP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0.8935</w:t>
            </w:r>
            <w:r w:rsidRPr="00954DE4">
              <w:rPr>
                <w:rFonts w:ascii="Times New Roman" w:hAnsi="Times New Roman" w:cs="Times New Roman"/>
                <w:sz w:val="20"/>
                <w:szCs w:val="20"/>
              </w:rPr>
              <w:t>**</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(0.3626</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0.8950**</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(0.3531</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0.8761**</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(0.3638</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0.9179**</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(0.3604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1.1466*</w:t>
            </w:r>
            <w:r w:rsidRPr="00954DE4">
              <w:rPr>
                <w:rFonts w:ascii="Times New Roman" w:hAnsi="Times New Roman" w:cs="Times New Roman"/>
                <w:sz w:val="20"/>
                <w:szCs w:val="20"/>
              </w:rPr>
              <w:t>**</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(0.3474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1.1566***</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(0.3426</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1.1429***</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(0.3459</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1.1636***</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(0.3459</w:t>
            </w:r>
            <w:r w:rsidRPr="00AB0CE3">
              <w:rPr>
                <w:rFonts w:ascii="Times New Roman" w:hAnsi="Times New Roman" w:cs="Times New Roman"/>
                <w:sz w:val="28"/>
                <w:szCs w:val="20"/>
                <w:vertAlign w:val="superscript"/>
              </w:rPr>
              <w:t>)</w:t>
            </w:r>
          </w:p>
        </w:tc>
      </w:tr>
      <w:tr w:rsidR="00A51396" w:rsidTr="00536F3E">
        <w:tc>
          <w:tcPr>
            <w:tcW w:w="1789" w:type="dxa"/>
            <w:tcBorders>
              <w:top w:val="nil"/>
              <w:left w:val="nil"/>
              <w:bottom w:val="nil"/>
              <w:right w:val="nil"/>
            </w:tcBorders>
          </w:tcPr>
          <w:p w:rsidR="00A51396" w:rsidRDefault="00A51396" w:rsidP="00536F3E">
            <w:pPr>
              <w:rPr>
                <w:rFonts w:ascii="Times New Roman" w:hAnsi="Times New Roman" w:cs="Times New Roman"/>
                <w:i/>
                <w:sz w:val="20"/>
                <w:szCs w:val="20"/>
                <w:vertAlign w:val="subscript"/>
              </w:rPr>
            </w:pPr>
            <w:r>
              <w:rPr>
                <w:rFonts w:ascii="Times New Roman" w:hAnsi="Times New Roman" w:cs="Times New Roman"/>
                <w:i/>
                <w:sz w:val="20"/>
                <w:szCs w:val="20"/>
              </w:rPr>
              <w:t>Mb</w:t>
            </w:r>
            <w:r w:rsidRPr="009A001F">
              <w:rPr>
                <w:rFonts w:ascii="Times New Roman" w:hAnsi="Times New Roman" w:cs="Times New Roman"/>
                <w:i/>
                <w:sz w:val="20"/>
                <w:szCs w:val="20"/>
                <w:vertAlign w:val="subscript"/>
              </w:rPr>
              <w:t>i,t</w:t>
            </w:r>
          </w:p>
          <w:p w:rsidR="00A51396" w:rsidRDefault="00A51396" w:rsidP="00536F3E">
            <w:pPr>
              <w:rPr>
                <w:rFonts w:ascii="Times New Roman" w:hAnsi="Times New Roman" w:cs="Times New Roman"/>
                <w:i/>
                <w:sz w:val="20"/>
                <w:szCs w:val="20"/>
              </w:rPr>
            </w:pP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0.0187*</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(0.0098</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0.0179*</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(0.0096</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0.0171*</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(0.0099</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0.0186*</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(0.0097</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0.0280***</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(0.0075</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0.0276***</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0.0274***</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(0.0075</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A51396" w:rsidRDefault="00A51396" w:rsidP="00536F3E">
            <w:pPr>
              <w:jc w:val="center"/>
              <w:rPr>
                <w:rFonts w:ascii="Times New Roman" w:hAnsi="Times New Roman" w:cs="Times New Roman"/>
                <w:sz w:val="20"/>
                <w:szCs w:val="20"/>
              </w:rPr>
            </w:pPr>
            <w:r>
              <w:rPr>
                <w:rFonts w:ascii="Times New Roman" w:hAnsi="Times New Roman" w:cs="Times New Roman"/>
                <w:sz w:val="20"/>
                <w:szCs w:val="20"/>
              </w:rPr>
              <w:t>0.0279***</w:t>
            </w:r>
          </w:p>
          <w:p w:rsidR="00A51396" w:rsidRPr="00AB0CE3" w:rsidRDefault="00A5139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(0.0075</w:t>
            </w:r>
            <w:r w:rsidRPr="00AB0CE3">
              <w:rPr>
                <w:rFonts w:ascii="Times New Roman" w:hAnsi="Times New Roman" w:cs="Times New Roman"/>
                <w:sz w:val="28"/>
                <w:szCs w:val="20"/>
                <w:vertAlign w:val="superscript"/>
              </w:rPr>
              <w:t>)</w:t>
            </w:r>
          </w:p>
        </w:tc>
      </w:tr>
      <w:tr w:rsidR="00A51396" w:rsidTr="00536F3E">
        <w:tc>
          <w:tcPr>
            <w:tcW w:w="1789" w:type="dxa"/>
            <w:tcBorders>
              <w:top w:val="nil"/>
              <w:left w:val="nil"/>
              <w:bottom w:val="nil"/>
              <w:right w:val="nil"/>
            </w:tcBorders>
          </w:tcPr>
          <w:p w:rsidR="00A51396" w:rsidRDefault="00A51396" w:rsidP="00536F3E">
            <w:pPr>
              <w:rPr>
                <w:rFonts w:ascii="Times New Roman" w:hAnsi="Times New Roman" w:cs="Times New Roman"/>
                <w:i/>
                <w:sz w:val="20"/>
                <w:szCs w:val="20"/>
              </w:rPr>
            </w:pPr>
          </w:p>
        </w:tc>
        <w:tc>
          <w:tcPr>
            <w:tcW w:w="1587"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586"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p>
        </w:tc>
      </w:tr>
      <w:tr w:rsidR="00A51396" w:rsidTr="00536F3E">
        <w:tc>
          <w:tcPr>
            <w:tcW w:w="1789" w:type="dxa"/>
            <w:tcBorders>
              <w:top w:val="nil"/>
              <w:left w:val="nil"/>
              <w:bottom w:val="nil"/>
              <w:right w:val="nil"/>
            </w:tcBorders>
          </w:tcPr>
          <w:p w:rsidR="00A51396" w:rsidRPr="00954DE4" w:rsidRDefault="00A51396" w:rsidP="00536F3E">
            <w:pPr>
              <w:rPr>
                <w:rFonts w:ascii="Times New Roman" w:hAnsi="Times New Roman" w:cs="Times New Roman"/>
                <w:sz w:val="20"/>
                <w:szCs w:val="20"/>
              </w:rPr>
            </w:pPr>
            <w:r>
              <w:rPr>
                <w:rFonts w:ascii="Times New Roman" w:hAnsi="Times New Roman" w:cs="Times New Roman"/>
                <w:sz w:val="20"/>
                <w:szCs w:val="20"/>
              </w:rPr>
              <w:t>N</w:t>
            </w:r>
          </w:p>
        </w:tc>
        <w:tc>
          <w:tcPr>
            <w:tcW w:w="1587"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587"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587"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586"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260" w:type="dxa"/>
            <w:tcBorders>
              <w:top w:val="nil"/>
              <w:left w:val="nil"/>
              <w:bottom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5165</w:t>
            </w:r>
          </w:p>
        </w:tc>
      </w:tr>
      <w:tr w:rsidR="00A51396" w:rsidTr="00536F3E">
        <w:tc>
          <w:tcPr>
            <w:tcW w:w="1789" w:type="dxa"/>
            <w:tcBorders>
              <w:top w:val="nil"/>
              <w:left w:val="nil"/>
              <w:right w:val="nil"/>
            </w:tcBorders>
          </w:tcPr>
          <w:p w:rsidR="00A51396" w:rsidRPr="009A001F" w:rsidRDefault="00A51396" w:rsidP="00536F3E">
            <w:pPr>
              <w:rPr>
                <w:rFonts w:ascii="Times New Roman" w:hAnsi="Times New Roman" w:cs="Times New Roman"/>
                <w:sz w:val="20"/>
                <w:szCs w:val="20"/>
              </w:rPr>
            </w:pPr>
            <w:r>
              <w:rPr>
                <w:rFonts w:ascii="Times New Roman" w:hAnsi="Times New Roman" w:cs="Times New Roman"/>
                <w:sz w:val="20"/>
                <w:szCs w:val="20"/>
              </w:rPr>
              <w:t>R</w:t>
            </w:r>
            <w:r w:rsidRPr="009A001F">
              <w:rPr>
                <w:rFonts w:ascii="Times New Roman" w:hAnsi="Times New Roman" w:cs="Times New Roman"/>
                <w:sz w:val="20"/>
                <w:szCs w:val="20"/>
                <w:vertAlign w:val="superscript"/>
              </w:rPr>
              <w:t>2</w:t>
            </w:r>
          </w:p>
        </w:tc>
        <w:tc>
          <w:tcPr>
            <w:tcW w:w="1587" w:type="dxa"/>
            <w:tcBorders>
              <w:top w:val="nil"/>
              <w:left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0.1294</w:t>
            </w:r>
          </w:p>
        </w:tc>
        <w:tc>
          <w:tcPr>
            <w:tcW w:w="1587" w:type="dxa"/>
            <w:tcBorders>
              <w:top w:val="nil"/>
              <w:left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0.1416</w:t>
            </w:r>
          </w:p>
        </w:tc>
        <w:tc>
          <w:tcPr>
            <w:tcW w:w="1587" w:type="dxa"/>
            <w:tcBorders>
              <w:top w:val="nil"/>
              <w:left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0.1337</w:t>
            </w:r>
          </w:p>
        </w:tc>
        <w:tc>
          <w:tcPr>
            <w:tcW w:w="1586" w:type="dxa"/>
            <w:tcBorders>
              <w:top w:val="nil"/>
              <w:left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0.1329</w:t>
            </w:r>
          </w:p>
        </w:tc>
        <w:tc>
          <w:tcPr>
            <w:tcW w:w="1260" w:type="dxa"/>
            <w:tcBorders>
              <w:top w:val="nil"/>
              <w:left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0.1163</w:t>
            </w:r>
          </w:p>
        </w:tc>
        <w:tc>
          <w:tcPr>
            <w:tcW w:w="1260" w:type="dxa"/>
            <w:tcBorders>
              <w:top w:val="nil"/>
              <w:left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0.1413</w:t>
            </w:r>
          </w:p>
        </w:tc>
        <w:tc>
          <w:tcPr>
            <w:tcW w:w="1260" w:type="dxa"/>
            <w:tcBorders>
              <w:top w:val="nil"/>
              <w:left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0.1244</w:t>
            </w:r>
          </w:p>
        </w:tc>
        <w:tc>
          <w:tcPr>
            <w:tcW w:w="1260" w:type="dxa"/>
            <w:tcBorders>
              <w:top w:val="nil"/>
              <w:left w:val="nil"/>
              <w:right w:val="nil"/>
            </w:tcBorders>
          </w:tcPr>
          <w:p w:rsidR="00A51396" w:rsidRPr="0075597C" w:rsidRDefault="00A51396" w:rsidP="00536F3E">
            <w:pPr>
              <w:jc w:val="center"/>
              <w:rPr>
                <w:rFonts w:ascii="Times New Roman" w:hAnsi="Times New Roman" w:cs="Times New Roman"/>
                <w:sz w:val="20"/>
                <w:szCs w:val="20"/>
              </w:rPr>
            </w:pPr>
            <w:r>
              <w:rPr>
                <w:rFonts w:ascii="Times New Roman" w:hAnsi="Times New Roman" w:cs="Times New Roman"/>
                <w:sz w:val="20"/>
                <w:szCs w:val="20"/>
              </w:rPr>
              <w:t>0.1244</w:t>
            </w:r>
          </w:p>
        </w:tc>
      </w:tr>
    </w:tbl>
    <w:p w:rsidR="001C0D47" w:rsidRDefault="001C0D47"/>
    <w:p w:rsidR="00E85194" w:rsidRDefault="00E85194" w:rsidP="00E85194"/>
    <w:p w:rsidR="00E85194" w:rsidRDefault="00E85194" w:rsidP="00E85194"/>
    <w:p w:rsidR="00E85194" w:rsidRDefault="00E85194" w:rsidP="00E85194"/>
    <w:p w:rsidR="00E85194" w:rsidRDefault="00E85194" w:rsidP="00E85194"/>
    <w:p w:rsidR="00E85194" w:rsidRDefault="00E85194" w:rsidP="00E85194"/>
    <w:p w:rsidR="00E85194" w:rsidRDefault="00E85194" w:rsidP="00E85194"/>
    <w:p w:rsidR="00E85194" w:rsidRDefault="00E85194" w:rsidP="00E85194"/>
    <w:p w:rsidR="00AC134E" w:rsidRDefault="00AC134E" w:rsidP="00E85194"/>
    <w:p w:rsidR="00434249" w:rsidRDefault="00434249" w:rsidP="00E85194"/>
    <w:tbl>
      <w:tblPr>
        <w:tblStyle w:val="TableGrid"/>
        <w:tblW w:w="0" w:type="auto"/>
        <w:tblLook w:val="04A0" w:firstRow="1" w:lastRow="0" w:firstColumn="1" w:lastColumn="0" w:noHBand="0" w:noVBand="1"/>
      </w:tblPr>
      <w:tblGrid>
        <w:gridCol w:w="1789"/>
        <w:gridCol w:w="1587"/>
        <w:gridCol w:w="1587"/>
        <w:gridCol w:w="1587"/>
        <w:gridCol w:w="1586"/>
        <w:gridCol w:w="1260"/>
        <w:gridCol w:w="1260"/>
        <w:gridCol w:w="1260"/>
        <w:gridCol w:w="1260"/>
      </w:tblGrid>
      <w:tr w:rsidR="00E85194" w:rsidTr="00536F3E">
        <w:tc>
          <w:tcPr>
            <w:tcW w:w="13176" w:type="dxa"/>
            <w:gridSpan w:val="9"/>
            <w:tcBorders>
              <w:top w:val="nil"/>
              <w:left w:val="nil"/>
              <w:bottom w:val="nil"/>
              <w:right w:val="nil"/>
            </w:tcBorders>
          </w:tcPr>
          <w:p w:rsidR="00E85194" w:rsidRPr="00606CEE" w:rsidRDefault="00E85194" w:rsidP="00536F3E">
            <w:pPr>
              <w:rPr>
                <w:rFonts w:ascii="Times New Roman" w:hAnsi="Times New Roman" w:cs="Times New Roman"/>
                <w:b/>
                <w:sz w:val="20"/>
                <w:szCs w:val="20"/>
              </w:rPr>
            </w:pPr>
            <w:r>
              <w:rPr>
                <w:rFonts w:ascii="Times New Roman" w:hAnsi="Times New Roman" w:cs="Times New Roman"/>
                <w:b/>
                <w:sz w:val="20"/>
                <w:szCs w:val="20"/>
              </w:rPr>
              <w:t>Table 3</w:t>
            </w:r>
          </w:p>
          <w:p w:rsidR="00E85194" w:rsidRPr="00606CEE" w:rsidRDefault="00E85194" w:rsidP="00536F3E">
            <w:pPr>
              <w:rPr>
                <w:rFonts w:ascii="Times New Roman" w:hAnsi="Times New Roman" w:cs="Times New Roman"/>
                <w:b/>
                <w:sz w:val="20"/>
                <w:szCs w:val="20"/>
              </w:rPr>
            </w:pPr>
            <w:r>
              <w:rPr>
                <w:rFonts w:ascii="Times New Roman" w:hAnsi="Times New Roman" w:cs="Times New Roman"/>
                <w:b/>
                <w:sz w:val="20"/>
                <w:szCs w:val="20"/>
              </w:rPr>
              <w:t>Market</w:t>
            </w:r>
            <w:r w:rsidRPr="00606CEE">
              <w:rPr>
                <w:rFonts w:ascii="Times New Roman" w:hAnsi="Times New Roman" w:cs="Times New Roman"/>
                <w:b/>
                <w:sz w:val="20"/>
                <w:szCs w:val="20"/>
              </w:rPr>
              <w:t xml:space="preserve"> Leverage Regressions</w:t>
            </w:r>
          </w:p>
          <w:p w:rsidR="00E85194" w:rsidRDefault="00E85194" w:rsidP="00536F3E">
            <w:pPr>
              <w:rPr>
                <w:rFonts w:ascii="Times New Roman" w:hAnsi="Times New Roman" w:cs="Times New Roman"/>
                <w:sz w:val="20"/>
                <w:szCs w:val="20"/>
              </w:rPr>
            </w:pPr>
            <w:r w:rsidRPr="008D5EED">
              <w:rPr>
                <w:rFonts w:ascii="Times New Roman" w:hAnsi="Times New Roman" w:cs="Times New Roman"/>
                <w:sz w:val="20"/>
                <w:szCs w:val="20"/>
              </w:rPr>
              <w:t>The table reports the results from estima</w:t>
            </w:r>
            <w:r>
              <w:rPr>
                <w:rFonts w:ascii="Times New Roman" w:hAnsi="Times New Roman" w:cs="Times New Roman"/>
                <w:sz w:val="20"/>
                <w:szCs w:val="20"/>
              </w:rPr>
              <w:t>ting the following OLS equation in columns I-IV:</w:t>
            </w:r>
          </w:p>
          <w:p w:rsidR="00E85194" w:rsidRPr="0067227A" w:rsidRDefault="00E85194" w:rsidP="00536F3E">
            <w:pPr>
              <w:rPr>
                <w:rFonts w:ascii="Times New Roman" w:eastAsiaTheme="minorEastAsia" w:hAnsi="Times New Roman" w:cs="Times New Roman"/>
                <w:sz w:val="20"/>
                <w:szCs w:val="20"/>
              </w:rPr>
            </w:pPr>
          </w:p>
          <w:p w:rsidR="00E85194" w:rsidRDefault="00E85194" w:rsidP="00536F3E">
            <w:pPr>
              <w:rPr>
                <w:rFonts w:ascii="Times New Roman" w:eastAsiaTheme="minorEastAsia" w:hAnsi="Times New Roman" w:cs="Times New Roman"/>
                <w:sz w:val="20"/>
                <w:szCs w:val="20"/>
              </w:rPr>
            </w:pPr>
            <m:oMath>
              <m:r>
                <w:rPr>
                  <w:rFonts w:ascii="Cambria Math" w:hAnsi="Cambria Math" w:cs="Times New Roman"/>
                  <w:sz w:val="20"/>
                  <w:szCs w:val="20"/>
                </w:rPr>
                <m:t xml:space="preserve">        MV Le</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tax+</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r>
                <w:rPr>
                  <w:rFonts w:ascii="Cambria Math" w:hAnsi="Cambria Math" w:cs="Times New Roman"/>
                  <w:sz w:val="20"/>
                  <w:szCs w:val="20"/>
                </w:rPr>
                <m:t>sale</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ed</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r>
                <w:rPr>
                  <w:rFonts w:ascii="Cambria Math" w:hAnsi="Cambria Math" w:cs="Times New Roman"/>
                  <w:sz w:val="20"/>
                  <w:szCs w:val="20"/>
                </w:rPr>
                <m:t>ppe</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r>
                <w:rPr>
                  <w:rFonts w:ascii="Cambria Math" w:hAnsi="Cambria Math" w:cs="Times New Roman"/>
                  <w:sz w:val="20"/>
                  <w:szCs w:val="20"/>
                </w:rPr>
                <m:t>ro</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6</m:t>
                  </m:r>
                </m:sub>
              </m:sSub>
              <m:r>
                <w:rPr>
                  <w:rFonts w:ascii="Cambria Math" w:hAnsi="Cambria Math" w:cs="Times New Roman"/>
                  <w:sz w:val="20"/>
                  <w:szCs w:val="20"/>
                </w:rPr>
                <m:t>div</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7</m:t>
                  </m:r>
                </m:sub>
              </m:sSub>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8</m:t>
                  </m:r>
                </m:sub>
              </m:sSub>
              <m:r>
                <w:rPr>
                  <w:rFonts w:ascii="Cambria Math" w:hAnsi="Cambria Math" w:cs="Times New Roman"/>
                  <w:sz w:val="20"/>
                  <w:szCs w:val="20"/>
                </w:rPr>
                <m:t>ad</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9</m:t>
                  </m:r>
                </m:sub>
              </m:sSub>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10</m:t>
                  </m:r>
                </m:sub>
              </m:sSub>
              <m:r>
                <w:rPr>
                  <w:rFonts w:ascii="Cambria Math" w:hAnsi="Cambria Math" w:cs="Times New Roman"/>
                  <w:sz w:val="20"/>
                  <w:szCs w:val="20"/>
                </w:rPr>
                <m:t xml:space="preserve">dyear2003+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11</m:t>
                  </m:r>
                </m:sub>
              </m:sSub>
              <m:r>
                <w:rPr>
                  <w:rFonts w:ascii="Cambria Math" w:hAnsi="Cambria Math" w:cs="Times New Roman"/>
                  <w:sz w:val="20"/>
                  <w:szCs w:val="20"/>
                </w:rPr>
                <m:t xml:space="preserve">dyear2004+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12</m:t>
                  </m:r>
                </m:sub>
              </m:sSub>
              <m:r>
                <w:rPr>
                  <w:rFonts w:ascii="Cambria Math" w:hAnsi="Cambria Math" w:cs="Times New Roman"/>
                  <w:sz w:val="20"/>
                  <w:szCs w:val="20"/>
                </w:rPr>
                <m:t xml:space="preserve">dyear2005+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13</m:t>
                  </m:r>
                </m:sub>
              </m:sSub>
              <m:r>
                <w:rPr>
                  <w:rFonts w:ascii="Cambria Math" w:hAnsi="Cambria Math" w:cs="Times New Roman"/>
                  <w:sz w:val="20"/>
                  <w:szCs w:val="20"/>
                </w:rPr>
                <m:t xml:space="preserve">dyear2006+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14</m:t>
                  </m:r>
                </m:sub>
              </m:sSub>
              <m:r>
                <w:rPr>
                  <w:rFonts w:ascii="Cambria Math" w:hAnsi="Cambria Math" w:cs="Times New Roman"/>
                  <w:sz w:val="20"/>
                  <w:szCs w:val="20"/>
                </w:rPr>
                <m:t xml:space="preserve">dyear2007+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15</m:t>
                  </m:r>
                </m:sub>
              </m:sSub>
              <m:r>
                <w:rPr>
                  <w:rFonts w:ascii="Cambria Math" w:hAnsi="Cambria Math" w:cs="Times New Roman"/>
                  <w:sz w:val="20"/>
                  <w:szCs w:val="20"/>
                </w:rPr>
                <m:t>dyear2008+</m:t>
              </m:r>
              <m:sSub>
                <m:sSubPr>
                  <m:ctrlPr>
                    <w:rPr>
                      <w:rFonts w:ascii="Cambria Math" w:hAnsi="Cambria Math" w:cs="Times New Roman"/>
                      <w:i/>
                      <w:sz w:val="20"/>
                      <w:szCs w:val="20"/>
                    </w:rPr>
                  </m:ctrlPr>
                </m:sSubPr>
                <m:e>
                  <m:r>
                    <w:rPr>
                      <w:rFonts w:ascii="Cambria Math" w:hAnsi="Cambria Math" w:cs="Times New Roman"/>
                      <w:sz w:val="20"/>
                      <w:szCs w:val="20"/>
                    </w:rPr>
                    <m:t>ϵ</m:t>
                  </m:r>
                </m:e>
                <m:sub>
                  <m:r>
                    <w:rPr>
                      <w:rFonts w:ascii="Cambria Math" w:hAnsi="Cambria Math" w:cs="Times New Roman"/>
                      <w:sz w:val="20"/>
                      <w:szCs w:val="20"/>
                    </w:rPr>
                    <m:t>i,t</m:t>
                  </m:r>
                </m:sub>
              </m:sSub>
            </m:oMath>
            <w:r>
              <w:rPr>
                <w:rFonts w:ascii="Times New Roman" w:eastAsiaTheme="minorEastAsia" w:hAnsi="Times New Roman" w:cs="Times New Roman"/>
                <w:sz w:val="20"/>
                <w:szCs w:val="20"/>
              </w:rPr>
              <w:t xml:space="preserve">   </w:t>
            </w:r>
          </w:p>
          <w:p w:rsidR="00E85194" w:rsidRDefault="00E85194" w:rsidP="00536F3E">
            <w:pPr>
              <w:rPr>
                <w:rFonts w:ascii="Times New Roman" w:eastAsiaTheme="minorEastAsia" w:hAnsi="Times New Roman" w:cs="Times New Roman"/>
                <w:sz w:val="20"/>
                <w:szCs w:val="20"/>
              </w:rPr>
            </w:pPr>
          </w:p>
          <w:p w:rsidR="00E85194" w:rsidRDefault="00E85194"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Columns V-VIII report the results from estimation using between effects which is the OLS estimator applied to the following time-averaged equation:</w:t>
            </w:r>
          </w:p>
          <w:p w:rsidR="00E85194" w:rsidRDefault="00E85194" w:rsidP="00536F3E">
            <w:pPr>
              <w:rPr>
                <w:rFonts w:ascii="Times New Roman" w:eastAsiaTheme="minorEastAsia" w:hAnsi="Times New Roman" w:cs="Times New Roman"/>
                <w:sz w:val="20"/>
                <w:szCs w:val="20"/>
              </w:rPr>
            </w:pPr>
          </w:p>
          <w:p w:rsidR="00E85194" w:rsidRDefault="00E85194" w:rsidP="00536F3E">
            <w:pPr>
              <w:rPr>
                <w:rFonts w:ascii="Times New Roman" w:eastAsiaTheme="minorEastAsia" w:hAnsi="Times New Roman" w:cs="Times New Roman"/>
                <w:sz w:val="20"/>
                <w:szCs w:val="20"/>
              </w:rPr>
            </w:pPr>
            <m:oMath>
              <m:r>
                <w:rPr>
                  <w:rFonts w:ascii="Cambria Math" w:hAnsi="Cambria Math" w:cs="Times New Roman"/>
                  <w:sz w:val="20"/>
                  <w:szCs w:val="20"/>
                </w:rPr>
                <m:t xml:space="preserve">        MV </m:t>
              </m:r>
              <m:acc>
                <m:accPr>
                  <m:chr m:val="̅"/>
                  <m:ctrlPr>
                    <w:rPr>
                      <w:rFonts w:ascii="Cambria Math" w:hAnsi="Cambria Math" w:cs="Times New Roman"/>
                      <w:i/>
                      <w:sz w:val="20"/>
                      <w:szCs w:val="20"/>
                    </w:rPr>
                  </m:ctrlPr>
                </m:accPr>
                <m:e>
                  <m:r>
                    <w:rPr>
                      <w:rFonts w:ascii="Cambria Math" w:hAnsi="Cambria Math" w:cs="Times New Roman"/>
                      <w:sz w:val="20"/>
                      <w:szCs w:val="20"/>
                    </w:rPr>
                    <m:t>Le</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tax+</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acc>
                <m:accPr>
                  <m:chr m:val="̅"/>
                  <m:ctrlPr>
                    <w:rPr>
                      <w:rFonts w:ascii="Cambria Math" w:hAnsi="Cambria Math" w:cs="Times New Roman"/>
                      <w:i/>
                      <w:sz w:val="20"/>
                      <w:szCs w:val="20"/>
                    </w:rPr>
                  </m:ctrlPr>
                </m:accPr>
                <m:e>
                  <m:r>
                    <w:rPr>
                      <w:rFonts w:ascii="Cambria Math" w:hAnsi="Cambria Math" w:cs="Times New Roman"/>
                      <w:sz w:val="20"/>
                      <w:szCs w:val="20"/>
                    </w:rPr>
                    <m:t>sale</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acc>
                <m:accPr>
                  <m:chr m:val="̅"/>
                  <m:ctrlPr>
                    <w:rPr>
                      <w:rFonts w:ascii="Cambria Math" w:hAnsi="Cambria Math" w:cs="Times New Roman"/>
                      <w:i/>
                      <w:sz w:val="20"/>
                      <w:szCs w:val="20"/>
                    </w:rPr>
                  </m:ctrlPr>
                </m:accPr>
                <m:e>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ed</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acc>
                <m:accPr>
                  <m:chr m:val="̅"/>
                  <m:ctrlPr>
                    <w:rPr>
                      <w:rFonts w:ascii="Cambria Math" w:hAnsi="Cambria Math" w:cs="Times New Roman"/>
                      <w:i/>
                      <w:sz w:val="20"/>
                      <w:szCs w:val="20"/>
                    </w:rPr>
                  </m:ctrlPr>
                </m:accPr>
                <m:e>
                  <m:r>
                    <w:rPr>
                      <w:rFonts w:ascii="Cambria Math" w:hAnsi="Cambria Math" w:cs="Times New Roman"/>
                      <w:sz w:val="20"/>
                      <w:szCs w:val="20"/>
                    </w:rPr>
                    <m:t>ppe</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acc>
                <m:accPr>
                  <m:chr m:val="̅"/>
                  <m:ctrlPr>
                    <w:rPr>
                      <w:rFonts w:ascii="Cambria Math" w:hAnsi="Cambria Math" w:cs="Times New Roman"/>
                      <w:i/>
                      <w:sz w:val="20"/>
                      <w:szCs w:val="20"/>
                    </w:rPr>
                  </m:ctrlPr>
                </m:accPr>
                <m:e>
                  <m:r>
                    <w:rPr>
                      <w:rFonts w:ascii="Cambria Math" w:hAnsi="Cambria Math" w:cs="Times New Roman"/>
                      <w:sz w:val="20"/>
                      <w:szCs w:val="20"/>
                    </w:rPr>
                    <m:t>ro</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6</m:t>
                  </m:r>
                </m:sub>
              </m:sSub>
              <m:acc>
                <m:accPr>
                  <m:chr m:val="̅"/>
                  <m:ctrlPr>
                    <w:rPr>
                      <w:rFonts w:ascii="Cambria Math" w:hAnsi="Cambria Math" w:cs="Times New Roman"/>
                      <w:i/>
                      <w:sz w:val="20"/>
                      <w:szCs w:val="20"/>
                    </w:rPr>
                  </m:ctrlPr>
                </m:accPr>
                <m:e>
                  <m:r>
                    <w:rPr>
                      <w:rFonts w:ascii="Cambria Math" w:hAnsi="Cambria Math" w:cs="Times New Roman"/>
                      <w:sz w:val="20"/>
                      <w:szCs w:val="20"/>
                    </w:rPr>
                    <m:t>div</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7</m:t>
                  </m:r>
                </m:sub>
              </m:sSub>
              <m:acc>
                <m:accPr>
                  <m:chr m:val="̅"/>
                  <m:ctrlPr>
                    <w:rPr>
                      <w:rFonts w:ascii="Cambria Math" w:hAnsi="Cambria Math" w:cs="Times New Roman"/>
                      <w:i/>
                      <w:sz w:val="20"/>
                      <w:szCs w:val="20"/>
                    </w:rPr>
                  </m:ctrlPr>
                </m:accPr>
                <m:e>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8</m:t>
                  </m:r>
                </m:sub>
              </m:sSub>
              <m:acc>
                <m:accPr>
                  <m:chr m:val="̅"/>
                  <m:ctrlPr>
                    <w:rPr>
                      <w:rFonts w:ascii="Cambria Math" w:hAnsi="Cambria Math" w:cs="Times New Roman"/>
                      <w:i/>
                      <w:sz w:val="20"/>
                      <w:szCs w:val="20"/>
                    </w:rPr>
                  </m:ctrlPr>
                </m:accPr>
                <m:e>
                  <m:r>
                    <w:rPr>
                      <w:rFonts w:ascii="Cambria Math" w:hAnsi="Cambria Math" w:cs="Times New Roman"/>
                      <w:sz w:val="20"/>
                      <w:szCs w:val="20"/>
                    </w:rPr>
                    <m:t>ad</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9</m:t>
                  </m:r>
                </m:sub>
              </m:sSub>
              <m:acc>
                <m:accPr>
                  <m:chr m:val="̅"/>
                  <m:ctrlPr>
                    <w:rPr>
                      <w:rFonts w:ascii="Cambria Math" w:hAnsi="Cambria Math" w:cs="Times New Roman"/>
                      <w:i/>
                      <w:sz w:val="20"/>
                      <w:szCs w:val="20"/>
                    </w:rPr>
                  </m:ctrlPr>
                </m:accPr>
                <m:e>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ϵ</m:t>
                  </m:r>
                </m:e>
                <m:sub>
                  <m:r>
                    <w:rPr>
                      <w:rFonts w:ascii="Cambria Math" w:hAnsi="Cambria Math" w:cs="Times New Roman"/>
                      <w:sz w:val="20"/>
                      <w:szCs w:val="20"/>
                    </w:rPr>
                    <m:t>i,t</m:t>
                  </m:r>
                </m:sub>
              </m:sSub>
            </m:oMath>
            <w:r>
              <w:rPr>
                <w:rFonts w:ascii="Times New Roman" w:eastAsiaTheme="minorEastAsia" w:hAnsi="Times New Roman" w:cs="Times New Roman"/>
                <w:sz w:val="20"/>
                <w:szCs w:val="20"/>
              </w:rPr>
              <w:t xml:space="preserve">   </w:t>
            </w:r>
          </w:p>
          <w:p w:rsidR="00E85194" w:rsidRDefault="00E85194" w:rsidP="00536F3E">
            <w:pPr>
              <w:rPr>
                <w:rFonts w:ascii="Times New Roman" w:eastAsiaTheme="minorEastAsia" w:hAnsi="Times New Roman" w:cs="Times New Roman"/>
                <w:sz w:val="20"/>
                <w:szCs w:val="20"/>
              </w:rPr>
            </w:pPr>
          </w:p>
          <w:p w:rsidR="00E85194" w:rsidRPr="001A43BB" w:rsidRDefault="00E85194"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Where </w:t>
            </w:r>
            <m:oMath>
              <m:acc>
                <m:accPr>
                  <m:chr m:val="̅"/>
                  <m:ctrlPr>
                    <w:rPr>
                      <w:rFonts w:ascii="Cambria Math" w:eastAsiaTheme="minorEastAsia" w:hAnsi="Cambria Math" w:cs="Times New Roman"/>
                      <w:i/>
                      <w:sz w:val="20"/>
                      <w:szCs w:val="20"/>
                    </w:rPr>
                  </m:ctrlPr>
                </m:acc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Lev</m:t>
                      </m:r>
                    </m:e>
                    <m:sub>
                      <m:r>
                        <w:rPr>
                          <w:rFonts w:ascii="Cambria Math" w:eastAsiaTheme="minorEastAsia" w:hAnsi="Cambria Math" w:cs="Times New Roman"/>
                          <w:sz w:val="20"/>
                          <w:szCs w:val="20"/>
                        </w:rPr>
                        <m:t>t</m:t>
                      </m:r>
                    </m:sub>
                  </m:sSub>
                </m:e>
              </m:acc>
            </m:oMath>
            <w:r>
              <w:rPr>
                <w:rFonts w:ascii="Times New Roman" w:eastAsiaTheme="minorEastAsia" w:hAnsi="Times New Roman" w:cs="Times New Roman"/>
                <w:sz w:val="20"/>
                <w:szCs w:val="20"/>
              </w:rPr>
              <w:t xml:space="preserve"> represents the average across time, i.e. </w:t>
            </w:r>
            <m:oMath>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t=1</m:t>
                  </m:r>
                </m:sub>
                <m:sup>
                  <m:r>
                    <w:rPr>
                      <w:rFonts w:ascii="Cambria Math" w:eastAsiaTheme="minorEastAsia" w:hAnsi="Cambria Math" w:cs="Times New Roman"/>
                      <w:sz w:val="20"/>
                      <w:szCs w:val="20"/>
                    </w:rPr>
                    <m:t>T</m:t>
                  </m:r>
                </m:sup>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Lev</m:t>
                          </m:r>
                        </m:e>
                        <m:sub>
                          <m:r>
                            <w:rPr>
                              <w:rFonts w:ascii="Cambria Math" w:eastAsiaTheme="minorEastAsia" w:hAnsi="Cambria Math" w:cs="Times New Roman"/>
                              <w:sz w:val="20"/>
                              <w:szCs w:val="20"/>
                            </w:rPr>
                            <m:t>i,t</m:t>
                          </m:r>
                        </m:sub>
                      </m:sSub>
                    </m:num>
                    <m:den>
                      <m:r>
                        <w:rPr>
                          <w:rFonts w:ascii="Cambria Math" w:eastAsiaTheme="minorEastAsia" w:hAnsi="Cambria Math" w:cs="Times New Roman"/>
                          <w:sz w:val="20"/>
                          <w:szCs w:val="20"/>
                        </w:rPr>
                        <m:t>T</m:t>
                      </m:r>
                    </m:den>
                  </m:f>
                </m:e>
              </m:nary>
            </m:oMath>
            <w:r>
              <w:rPr>
                <w:rFonts w:ascii="Times New Roman" w:eastAsiaTheme="minorEastAsia" w:hAnsi="Times New Roman" w:cs="Times New Roman"/>
                <w:sz w:val="20"/>
                <w:szCs w:val="20"/>
              </w:rPr>
              <w:t>.</w:t>
            </w:r>
          </w:p>
          <w:p w:rsidR="00E85194" w:rsidRDefault="00E85194"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dependent variable is the market value of leverage (</w:t>
            </w:r>
            <w:r>
              <w:rPr>
                <w:rFonts w:ascii="Times New Roman" w:eastAsiaTheme="minorEastAsia" w:hAnsi="Times New Roman" w:cs="Times New Roman"/>
                <w:i/>
                <w:sz w:val="20"/>
                <w:szCs w:val="20"/>
              </w:rPr>
              <w:t>MV Lev</w:t>
            </w:r>
            <w:r>
              <w:rPr>
                <w:rFonts w:ascii="Times New Roman" w:eastAsiaTheme="minorEastAsia" w:hAnsi="Times New Roman" w:cs="Times New Roman"/>
                <w:sz w:val="20"/>
                <w:szCs w:val="20"/>
              </w:rPr>
              <w:t xml:space="preserve">) for firm </w:t>
            </w:r>
            <w:r>
              <w:rPr>
                <w:rFonts w:ascii="Times New Roman" w:eastAsiaTheme="minorEastAsia" w:hAnsi="Times New Roman" w:cs="Times New Roman"/>
                <w:i/>
                <w:sz w:val="20"/>
                <w:szCs w:val="20"/>
              </w:rPr>
              <w:t xml:space="preserve">i </w:t>
            </w:r>
            <w:r>
              <w:rPr>
                <w:rFonts w:ascii="Times New Roman" w:eastAsiaTheme="minorEastAsia" w:hAnsi="Times New Roman" w:cs="Times New Roman"/>
                <w:sz w:val="20"/>
                <w:szCs w:val="20"/>
              </w:rPr>
              <w:t xml:space="preserve">in year </w:t>
            </w:r>
            <w:r>
              <w:rPr>
                <w:rFonts w:ascii="Times New Roman" w:eastAsiaTheme="minorEastAsia" w:hAnsi="Times New Roman" w:cs="Times New Roman"/>
                <w:i/>
                <w:sz w:val="20"/>
                <w:szCs w:val="20"/>
              </w:rPr>
              <w:t>t</w:t>
            </w:r>
            <w:r>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tax</w:t>
            </w:r>
            <w:r>
              <w:rPr>
                <w:rFonts w:ascii="Times New Roman" w:eastAsiaTheme="minorEastAsia" w:hAnsi="Times New Roman" w:cs="Times New Roman"/>
                <w:sz w:val="20"/>
                <w:szCs w:val="20"/>
              </w:rPr>
              <w:t xml:space="preserve"> is our measure of the tax rate facing each multinational firm. The base case is in Column I and V, Graham’s </w:t>
            </w:r>
            <w:r>
              <w:rPr>
                <w:rFonts w:ascii="Times New Roman" w:eastAsiaTheme="minorEastAsia" w:hAnsi="Times New Roman" w:cs="Times New Roman"/>
                <w:i/>
                <w:sz w:val="20"/>
                <w:szCs w:val="20"/>
              </w:rPr>
              <w:t>mtr</w:t>
            </w:r>
            <w:r>
              <w:rPr>
                <w:rFonts w:ascii="Times New Roman" w:eastAsiaTheme="minorEastAsia" w:hAnsi="Times New Roman" w:cs="Times New Roman"/>
                <w:sz w:val="20"/>
                <w:szCs w:val="20"/>
              </w:rPr>
              <w:t xml:space="preserve"> in Column II and VI, Blouin, Core, and Guay’s </w:t>
            </w:r>
            <w:r>
              <w:rPr>
                <w:rFonts w:ascii="Times New Roman" w:eastAsiaTheme="minorEastAsia" w:hAnsi="Times New Roman" w:cs="Times New Roman"/>
                <w:i/>
                <w:sz w:val="20"/>
                <w:szCs w:val="20"/>
              </w:rPr>
              <w:t>bcg_mtr</w:t>
            </w:r>
            <w:r>
              <w:rPr>
                <w:rFonts w:ascii="Times New Roman" w:eastAsiaTheme="minorEastAsia" w:hAnsi="Times New Roman" w:cs="Times New Roman"/>
                <w:sz w:val="20"/>
                <w:szCs w:val="20"/>
              </w:rPr>
              <w:t xml:space="preserve"> in Column III and VII, and our new measure </w:t>
            </w:r>
            <w:r>
              <w:rPr>
                <w:rFonts w:ascii="Times New Roman" w:eastAsiaTheme="minorEastAsia" w:hAnsi="Times New Roman" w:cs="Times New Roman"/>
                <w:i/>
                <w:sz w:val="20"/>
                <w:szCs w:val="20"/>
              </w:rPr>
              <w:t>firm_efftaxrate</w:t>
            </w:r>
            <w:r>
              <w:rPr>
                <w:rFonts w:ascii="Times New Roman" w:eastAsiaTheme="minorEastAsia" w:hAnsi="Times New Roman" w:cs="Times New Roman"/>
                <w:sz w:val="20"/>
                <w:szCs w:val="20"/>
              </w:rPr>
              <w:t xml:space="preserve"> in Column IV and VIII. The independent variables include lagged sales (</w:t>
            </w:r>
            <w:r>
              <w:rPr>
                <w:rFonts w:ascii="Times New Roman" w:eastAsiaTheme="minorEastAsia" w:hAnsi="Times New Roman" w:cs="Times New Roman"/>
                <w:i/>
                <w:sz w:val="20"/>
                <w:szCs w:val="20"/>
              </w:rPr>
              <w:t>sales</w:t>
            </w:r>
            <w:r w:rsidRPr="006A5C4C">
              <w:rPr>
                <w:rFonts w:ascii="Times New Roman" w:eastAsiaTheme="minorEastAsia" w:hAnsi="Times New Roman" w:cs="Times New Roman"/>
                <w:i/>
                <w:sz w:val="20"/>
                <w:szCs w:val="20"/>
                <w:vertAlign w:val="subscript"/>
              </w:rPr>
              <w:t>i,t-1</w:t>
            </w:r>
            <w:r>
              <w:rPr>
                <w:rFonts w:ascii="Times New Roman" w:eastAsiaTheme="minorEastAsia" w:hAnsi="Times New Roman" w:cs="Times New Roman"/>
                <w:sz w:val="20"/>
                <w:szCs w:val="20"/>
              </w:rPr>
              <w:t>), a dummy variable to indicate if the firm has a credit rating (</w:t>
            </w:r>
            <w:r>
              <w:rPr>
                <w:rFonts w:ascii="Times New Roman" w:eastAsiaTheme="minorEastAsia" w:hAnsi="Times New Roman" w:cs="Times New Roman"/>
                <w:i/>
                <w:sz w:val="20"/>
                <w:szCs w:val="20"/>
              </w:rPr>
              <w:t>rated</w:t>
            </w:r>
            <w:r w:rsidRPr="006A5C4C">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property, plant, and equipment over lagged book assets (</w:t>
            </w:r>
            <w:r>
              <w:rPr>
                <w:rFonts w:ascii="Times New Roman" w:eastAsiaTheme="minorEastAsia" w:hAnsi="Times New Roman" w:cs="Times New Roman"/>
                <w:i/>
                <w:sz w:val="20"/>
                <w:szCs w:val="20"/>
              </w:rPr>
              <w:t>ppeb</w:t>
            </w:r>
            <w:r w:rsidRPr="006A5C4C">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return on assets (</w:t>
            </w:r>
            <w:r>
              <w:rPr>
                <w:rFonts w:ascii="Times New Roman" w:eastAsiaTheme="minorEastAsia" w:hAnsi="Times New Roman" w:cs="Times New Roman"/>
                <w:i/>
                <w:sz w:val="20"/>
                <w:szCs w:val="20"/>
              </w:rPr>
              <w:t>roa</w:t>
            </w:r>
            <w:r w:rsidRPr="007E1C0A">
              <w:rPr>
                <w:rFonts w:ascii="Times New Roman" w:eastAsiaTheme="minorEastAsia" w:hAnsi="Times New Roman" w:cs="Times New Roman"/>
                <w:i/>
                <w:sz w:val="20"/>
                <w:szCs w:val="20"/>
                <w:vertAlign w:val="subscript"/>
              </w:rPr>
              <w:t>i</w:t>
            </w:r>
            <w:r>
              <w:rPr>
                <w:rFonts w:ascii="Times New Roman" w:eastAsiaTheme="minorEastAsia" w:hAnsi="Times New Roman" w:cs="Times New Roman"/>
                <w:i/>
                <w:sz w:val="20"/>
                <w:szCs w:val="20"/>
                <w:vertAlign w:val="subscript"/>
              </w:rPr>
              <w:t>,</w:t>
            </w:r>
            <w:r w:rsidRPr="007E1C0A">
              <w:rPr>
                <w:rFonts w:ascii="Times New Roman" w:eastAsiaTheme="minorEastAsia" w:hAnsi="Times New Roman" w:cs="Times New Roman"/>
                <w:i/>
                <w:sz w:val="20"/>
                <w:szCs w:val="20"/>
                <w:vertAlign w:val="subscript"/>
              </w:rPr>
              <w:t>t</w:t>
            </w:r>
            <w:r>
              <w:rPr>
                <w:rFonts w:ascii="Times New Roman" w:eastAsiaTheme="minorEastAsia" w:hAnsi="Times New Roman" w:cs="Times New Roman"/>
                <w:sz w:val="20"/>
                <w:szCs w:val="20"/>
              </w:rPr>
              <w:t>), a dummy variable set to 1 if the firm pays a dividend (</w:t>
            </w:r>
            <w:r>
              <w:rPr>
                <w:rFonts w:ascii="Times New Roman" w:eastAsiaTheme="minorEastAsia" w:hAnsi="Times New Roman" w:cs="Times New Roman"/>
                <w:i/>
                <w:sz w:val="20"/>
                <w:szCs w:val="20"/>
              </w:rPr>
              <w:t>divs</w:t>
            </w:r>
            <w:r w:rsidRPr="007E1C0A">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research and development expense (</w:t>
            </w:r>
            <w:r>
              <w:rPr>
                <w:rFonts w:ascii="Times New Roman" w:eastAsiaTheme="minorEastAsia" w:hAnsi="Times New Roman" w:cs="Times New Roman"/>
                <w:i/>
                <w:sz w:val="20"/>
                <w:szCs w:val="20"/>
              </w:rPr>
              <w:t>rd</w:t>
            </w:r>
            <w:r w:rsidRPr="007E1C0A">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advertising expense (adv</w:t>
            </w:r>
            <w:r w:rsidRPr="007E1C0A">
              <w:rPr>
                <w:rFonts w:ascii="Times New Roman" w:eastAsiaTheme="minorEastAsia" w:hAnsi="Times New Roman" w:cs="Times New Roman"/>
                <w:sz w:val="20"/>
                <w:szCs w:val="20"/>
                <w:vertAlign w:val="subscript"/>
              </w:rPr>
              <w:t>i,t</w:t>
            </w:r>
            <w:r>
              <w:rPr>
                <w:rFonts w:ascii="Times New Roman" w:eastAsiaTheme="minorEastAsia" w:hAnsi="Times New Roman" w:cs="Times New Roman"/>
                <w:sz w:val="20"/>
                <w:szCs w:val="20"/>
              </w:rPr>
              <w:t>), market-to-book ratio (mb</w:t>
            </w:r>
            <w:r w:rsidRPr="007E1C0A">
              <w:rPr>
                <w:rFonts w:ascii="Times New Roman" w:eastAsiaTheme="minorEastAsia" w:hAnsi="Times New Roman" w:cs="Times New Roman"/>
                <w:sz w:val="20"/>
                <w:szCs w:val="20"/>
                <w:vertAlign w:val="subscript"/>
              </w:rPr>
              <w:t>i,t</w:t>
            </w:r>
            <w:r>
              <w:rPr>
                <w:rFonts w:ascii="Times New Roman" w:eastAsiaTheme="minorEastAsia" w:hAnsi="Times New Roman" w:cs="Times New Roman"/>
                <w:sz w:val="20"/>
                <w:szCs w:val="20"/>
              </w:rPr>
              <w:t xml:space="preserve">), and finally year dummy variables (e.g. </w:t>
            </w:r>
            <w:r>
              <w:rPr>
                <w:rFonts w:ascii="Times New Roman" w:eastAsiaTheme="minorEastAsia" w:hAnsi="Times New Roman" w:cs="Times New Roman"/>
                <w:i/>
                <w:sz w:val="20"/>
                <w:szCs w:val="20"/>
              </w:rPr>
              <w:t>dyear2007</w:t>
            </w:r>
            <w:r>
              <w:rPr>
                <w:rFonts w:ascii="Times New Roman" w:eastAsiaTheme="minorEastAsia" w:hAnsi="Times New Roman" w:cs="Times New Roman"/>
                <w:sz w:val="20"/>
                <w:szCs w:val="20"/>
              </w:rPr>
              <w:t xml:space="preserve">). Standard errors are clustered at the firm level.  Standard errors are reported in parenthesis.             </w:t>
            </w:r>
          </w:p>
          <w:p w:rsidR="00E85194" w:rsidRDefault="00E85194"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 * represent significance at the one percent, five percent, and ten percent levels, respectively.</w:t>
            </w:r>
          </w:p>
          <w:p w:rsidR="00E85194" w:rsidRDefault="00E85194" w:rsidP="00536F3E">
            <w:pPr>
              <w:rPr>
                <w:rFonts w:ascii="Times New Roman" w:eastAsiaTheme="minorEastAsia" w:hAnsi="Times New Roman" w:cs="Times New Roman"/>
                <w:sz w:val="20"/>
                <w:szCs w:val="20"/>
              </w:rPr>
            </w:pPr>
          </w:p>
          <w:p w:rsidR="00E85194" w:rsidRDefault="00E85194" w:rsidP="00536F3E">
            <w:pPr>
              <w:rPr>
                <w:rFonts w:ascii="Times New Roman" w:eastAsiaTheme="minorEastAsia" w:hAnsi="Times New Roman" w:cs="Times New Roman"/>
                <w:sz w:val="20"/>
                <w:szCs w:val="20"/>
              </w:rPr>
            </w:pPr>
          </w:p>
          <w:p w:rsidR="00E85194" w:rsidRDefault="00E85194" w:rsidP="00536F3E">
            <w:pPr>
              <w:rPr>
                <w:rFonts w:ascii="Times New Roman" w:eastAsiaTheme="minorEastAsia" w:hAnsi="Times New Roman" w:cs="Times New Roman"/>
                <w:sz w:val="20"/>
                <w:szCs w:val="20"/>
              </w:rPr>
            </w:pPr>
          </w:p>
          <w:p w:rsidR="00E85194" w:rsidRDefault="00E85194" w:rsidP="00536F3E">
            <w:pPr>
              <w:rPr>
                <w:rFonts w:ascii="Times New Roman" w:eastAsiaTheme="minorEastAsia" w:hAnsi="Times New Roman" w:cs="Times New Roman"/>
                <w:sz w:val="20"/>
                <w:szCs w:val="20"/>
              </w:rPr>
            </w:pPr>
          </w:p>
          <w:p w:rsidR="00E85194" w:rsidRDefault="00E85194" w:rsidP="00536F3E">
            <w:pPr>
              <w:rPr>
                <w:rFonts w:ascii="Times New Roman" w:hAnsi="Times New Roman" w:cs="Times New Roman"/>
                <w:b/>
                <w:sz w:val="20"/>
                <w:szCs w:val="20"/>
              </w:rPr>
            </w:pPr>
          </w:p>
          <w:p w:rsidR="00E85194" w:rsidRDefault="00E85194" w:rsidP="00536F3E">
            <w:pPr>
              <w:rPr>
                <w:rFonts w:ascii="Times New Roman" w:hAnsi="Times New Roman" w:cs="Times New Roman"/>
                <w:b/>
                <w:sz w:val="20"/>
                <w:szCs w:val="20"/>
              </w:rPr>
            </w:pPr>
          </w:p>
          <w:p w:rsidR="00E85194" w:rsidRPr="00606CEE" w:rsidRDefault="00E85194" w:rsidP="00536F3E">
            <w:pPr>
              <w:rPr>
                <w:rFonts w:ascii="Times New Roman" w:hAnsi="Times New Roman" w:cs="Times New Roman"/>
                <w:b/>
                <w:sz w:val="20"/>
                <w:szCs w:val="20"/>
              </w:rPr>
            </w:pPr>
          </w:p>
        </w:tc>
      </w:tr>
      <w:tr w:rsidR="00E85194" w:rsidTr="00536F3E">
        <w:tc>
          <w:tcPr>
            <w:tcW w:w="1789" w:type="dxa"/>
            <w:tcBorders>
              <w:top w:val="single" w:sz="4" w:space="0" w:color="auto"/>
              <w:left w:val="nil"/>
              <w:bottom w:val="single" w:sz="4" w:space="0" w:color="auto"/>
              <w:right w:val="nil"/>
            </w:tcBorders>
          </w:tcPr>
          <w:p w:rsidR="00E85194" w:rsidRDefault="00E85194" w:rsidP="00536F3E"/>
        </w:tc>
        <w:tc>
          <w:tcPr>
            <w:tcW w:w="1587" w:type="dxa"/>
            <w:tcBorders>
              <w:top w:val="single" w:sz="4" w:space="0" w:color="auto"/>
              <w:left w:val="nil"/>
              <w:bottom w:val="single" w:sz="4" w:space="0" w:color="auto"/>
              <w:right w:val="nil"/>
            </w:tcBorders>
          </w:tcPr>
          <w:p w:rsidR="00E85194" w:rsidRDefault="00E85194" w:rsidP="00536F3E">
            <w:pPr>
              <w:jc w:val="center"/>
            </w:pPr>
            <w:r>
              <w:t>I</w:t>
            </w:r>
          </w:p>
        </w:tc>
        <w:tc>
          <w:tcPr>
            <w:tcW w:w="1587" w:type="dxa"/>
            <w:tcBorders>
              <w:top w:val="single" w:sz="4" w:space="0" w:color="auto"/>
              <w:left w:val="nil"/>
              <w:bottom w:val="single" w:sz="4" w:space="0" w:color="auto"/>
              <w:right w:val="nil"/>
            </w:tcBorders>
          </w:tcPr>
          <w:p w:rsidR="00E85194" w:rsidRDefault="00E85194" w:rsidP="00536F3E">
            <w:pPr>
              <w:jc w:val="center"/>
            </w:pPr>
            <w:r>
              <w:t>II</w:t>
            </w:r>
          </w:p>
        </w:tc>
        <w:tc>
          <w:tcPr>
            <w:tcW w:w="1587" w:type="dxa"/>
            <w:tcBorders>
              <w:top w:val="single" w:sz="4" w:space="0" w:color="auto"/>
              <w:left w:val="nil"/>
              <w:bottom w:val="single" w:sz="4" w:space="0" w:color="auto"/>
              <w:right w:val="nil"/>
            </w:tcBorders>
          </w:tcPr>
          <w:p w:rsidR="00E85194" w:rsidRDefault="00E85194" w:rsidP="00536F3E">
            <w:pPr>
              <w:jc w:val="center"/>
            </w:pPr>
            <w:r>
              <w:t>III</w:t>
            </w:r>
          </w:p>
        </w:tc>
        <w:tc>
          <w:tcPr>
            <w:tcW w:w="1586" w:type="dxa"/>
            <w:tcBorders>
              <w:top w:val="single" w:sz="4" w:space="0" w:color="auto"/>
              <w:left w:val="nil"/>
              <w:bottom w:val="single" w:sz="4" w:space="0" w:color="auto"/>
              <w:right w:val="nil"/>
            </w:tcBorders>
          </w:tcPr>
          <w:p w:rsidR="00E85194" w:rsidRDefault="00E85194" w:rsidP="00536F3E">
            <w:pPr>
              <w:jc w:val="center"/>
            </w:pPr>
            <w:r>
              <w:t>IV</w:t>
            </w:r>
          </w:p>
        </w:tc>
        <w:tc>
          <w:tcPr>
            <w:tcW w:w="1260" w:type="dxa"/>
            <w:tcBorders>
              <w:top w:val="single" w:sz="4" w:space="0" w:color="auto"/>
              <w:left w:val="nil"/>
              <w:bottom w:val="single" w:sz="4" w:space="0" w:color="auto"/>
              <w:right w:val="nil"/>
            </w:tcBorders>
          </w:tcPr>
          <w:p w:rsidR="00E85194" w:rsidRDefault="00E85194" w:rsidP="00536F3E">
            <w:pPr>
              <w:jc w:val="center"/>
            </w:pPr>
            <w:r>
              <w:t>V</w:t>
            </w:r>
          </w:p>
        </w:tc>
        <w:tc>
          <w:tcPr>
            <w:tcW w:w="1260" w:type="dxa"/>
            <w:tcBorders>
              <w:top w:val="single" w:sz="4" w:space="0" w:color="auto"/>
              <w:left w:val="nil"/>
              <w:bottom w:val="single" w:sz="4" w:space="0" w:color="auto"/>
              <w:right w:val="nil"/>
            </w:tcBorders>
          </w:tcPr>
          <w:p w:rsidR="00E85194" w:rsidRDefault="00E85194" w:rsidP="00536F3E">
            <w:pPr>
              <w:jc w:val="center"/>
            </w:pPr>
            <w:r>
              <w:t>VI</w:t>
            </w:r>
          </w:p>
        </w:tc>
        <w:tc>
          <w:tcPr>
            <w:tcW w:w="1260" w:type="dxa"/>
            <w:tcBorders>
              <w:top w:val="single" w:sz="4" w:space="0" w:color="auto"/>
              <w:left w:val="nil"/>
              <w:bottom w:val="single" w:sz="4" w:space="0" w:color="auto"/>
              <w:right w:val="nil"/>
            </w:tcBorders>
          </w:tcPr>
          <w:p w:rsidR="00E85194" w:rsidRDefault="00E85194" w:rsidP="00536F3E">
            <w:pPr>
              <w:jc w:val="center"/>
            </w:pPr>
            <w:r>
              <w:t>VII</w:t>
            </w:r>
          </w:p>
        </w:tc>
        <w:tc>
          <w:tcPr>
            <w:tcW w:w="1260" w:type="dxa"/>
            <w:tcBorders>
              <w:top w:val="single" w:sz="4" w:space="0" w:color="auto"/>
              <w:left w:val="nil"/>
              <w:bottom w:val="single" w:sz="4" w:space="0" w:color="auto"/>
              <w:right w:val="nil"/>
            </w:tcBorders>
          </w:tcPr>
          <w:p w:rsidR="00E85194" w:rsidRDefault="00E85194" w:rsidP="00536F3E">
            <w:pPr>
              <w:jc w:val="center"/>
            </w:pPr>
            <w:r>
              <w:t>VIII</w:t>
            </w:r>
          </w:p>
        </w:tc>
      </w:tr>
      <w:tr w:rsidR="00E85194" w:rsidTr="00536F3E">
        <w:tc>
          <w:tcPr>
            <w:tcW w:w="1789" w:type="dxa"/>
            <w:tcBorders>
              <w:top w:val="nil"/>
              <w:left w:val="nil"/>
              <w:bottom w:val="nil"/>
              <w:right w:val="nil"/>
            </w:tcBorders>
          </w:tcPr>
          <w:p w:rsidR="00E85194" w:rsidRDefault="00E85194" w:rsidP="00536F3E">
            <w:pPr>
              <w:rPr>
                <w:rFonts w:ascii="Times New Roman" w:hAnsi="Times New Roman" w:cs="Times New Roman"/>
                <w:i/>
                <w:sz w:val="20"/>
                <w:szCs w:val="20"/>
                <w:vertAlign w:val="subscript"/>
              </w:rPr>
            </w:pPr>
            <w:r w:rsidRPr="0075597C">
              <w:rPr>
                <w:rFonts w:ascii="Times New Roman" w:hAnsi="Times New Roman" w:cs="Times New Roman"/>
                <w:i/>
                <w:sz w:val="20"/>
                <w:szCs w:val="20"/>
              </w:rPr>
              <w:t>Mtr</w:t>
            </w:r>
            <w:r w:rsidRPr="0075597C">
              <w:rPr>
                <w:rFonts w:ascii="Times New Roman" w:hAnsi="Times New Roman" w:cs="Times New Roman"/>
                <w:i/>
                <w:sz w:val="20"/>
                <w:szCs w:val="20"/>
                <w:vertAlign w:val="subscript"/>
              </w:rPr>
              <w:t>i,t</w:t>
            </w:r>
          </w:p>
          <w:p w:rsidR="00E85194" w:rsidRPr="0075597C" w:rsidRDefault="00E85194" w:rsidP="00536F3E">
            <w:pPr>
              <w:rPr>
                <w:rFonts w:ascii="Times New Roman" w:hAnsi="Times New Roman" w:cs="Times New Roman"/>
                <w:i/>
                <w:sz w:val="20"/>
                <w:szCs w:val="20"/>
              </w:rPr>
            </w:pPr>
          </w:p>
        </w:tc>
        <w:tc>
          <w:tcPr>
            <w:tcW w:w="1587"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-0.2281***</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(0.0443</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586"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-0.3217***</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(0.0629</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r>
      <w:tr w:rsidR="00E85194" w:rsidTr="00536F3E">
        <w:tc>
          <w:tcPr>
            <w:tcW w:w="1789" w:type="dxa"/>
            <w:tcBorders>
              <w:top w:val="nil"/>
              <w:left w:val="nil"/>
              <w:bottom w:val="nil"/>
              <w:right w:val="nil"/>
            </w:tcBorders>
          </w:tcPr>
          <w:p w:rsidR="00E85194" w:rsidRDefault="00E85194" w:rsidP="00536F3E">
            <w:pPr>
              <w:rPr>
                <w:rFonts w:ascii="Times New Roman" w:hAnsi="Times New Roman" w:cs="Times New Roman"/>
                <w:i/>
                <w:sz w:val="20"/>
                <w:szCs w:val="20"/>
                <w:vertAlign w:val="subscript"/>
              </w:rPr>
            </w:pPr>
            <w:r>
              <w:rPr>
                <w:rFonts w:ascii="Times New Roman" w:hAnsi="Times New Roman" w:cs="Times New Roman"/>
                <w:i/>
                <w:sz w:val="20"/>
                <w:szCs w:val="20"/>
              </w:rPr>
              <w:t>Bcg_mtr</w:t>
            </w:r>
            <w:r w:rsidRPr="00AB0CE3">
              <w:rPr>
                <w:rFonts w:ascii="Times New Roman" w:hAnsi="Times New Roman" w:cs="Times New Roman"/>
                <w:i/>
                <w:sz w:val="20"/>
                <w:szCs w:val="20"/>
                <w:vertAlign w:val="subscript"/>
              </w:rPr>
              <w:t>i,t</w:t>
            </w:r>
          </w:p>
          <w:p w:rsidR="00E85194" w:rsidRPr="0075597C" w:rsidRDefault="00E85194" w:rsidP="00536F3E">
            <w:pPr>
              <w:rPr>
                <w:rFonts w:ascii="Times New Roman" w:hAnsi="Times New Roman" w:cs="Times New Roman"/>
                <w:i/>
                <w:sz w:val="20"/>
                <w:szCs w:val="20"/>
              </w:rPr>
            </w:pPr>
          </w:p>
        </w:tc>
        <w:tc>
          <w:tcPr>
            <w:tcW w:w="1587"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-0.2241***</w:t>
            </w:r>
          </w:p>
          <w:p w:rsidR="00E85194" w:rsidRPr="00954DE4"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(0.0926</w:t>
            </w:r>
            <w:r w:rsidRPr="00954DE4">
              <w:rPr>
                <w:rFonts w:ascii="Times New Roman" w:hAnsi="Times New Roman" w:cs="Times New Roman"/>
                <w:sz w:val="28"/>
                <w:szCs w:val="20"/>
                <w:vertAlign w:val="superscript"/>
              </w:rPr>
              <w:t>)</w:t>
            </w:r>
          </w:p>
        </w:tc>
        <w:tc>
          <w:tcPr>
            <w:tcW w:w="1586"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-0.2359***</w:t>
            </w:r>
          </w:p>
          <w:p w:rsidR="00E85194" w:rsidRPr="00954DE4"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(0.0809</w:t>
            </w:r>
            <w:r w:rsidRPr="00954DE4">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r>
      <w:tr w:rsidR="00E85194" w:rsidTr="00536F3E">
        <w:tc>
          <w:tcPr>
            <w:tcW w:w="1789" w:type="dxa"/>
            <w:tcBorders>
              <w:top w:val="nil"/>
              <w:left w:val="nil"/>
              <w:bottom w:val="nil"/>
              <w:right w:val="nil"/>
            </w:tcBorders>
          </w:tcPr>
          <w:p w:rsidR="00E85194" w:rsidRDefault="00E85194" w:rsidP="00536F3E">
            <w:pPr>
              <w:rPr>
                <w:rFonts w:ascii="Times New Roman" w:hAnsi="Times New Roman" w:cs="Times New Roman"/>
                <w:i/>
                <w:sz w:val="20"/>
                <w:szCs w:val="20"/>
                <w:vertAlign w:val="subscript"/>
              </w:rPr>
            </w:pPr>
            <w:r>
              <w:rPr>
                <w:rFonts w:ascii="Times New Roman" w:hAnsi="Times New Roman" w:cs="Times New Roman"/>
                <w:i/>
                <w:sz w:val="20"/>
                <w:szCs w:val="20"/>
              </w:rPr>
              <w:t>Firm_efftaxrate</w:t>
            </w:r>
            <w:r w:rsidRPr="00AB0CE3">
              <w:rPr>
                <w:rFonts w:ascii="Times New Roman" w:hAnsi="Times New Roman" w:cs="Times New Roman"/>
                <w:i/>
                <w:sz w:val="20"/>
                <w:szCs w:val="20"/>
                <w:vertAlign w:val="subscript"/>
              </w:rPr>
              <w:t>i,t</w:t>
            </w:r>
          </w:p>
          <w:p w:rsidR="00E85194" w:rsidRDefault="00E85194" w:rsidP="00536F3E">
            <w:pPr>
              <w:rPr>
                <w:rFonts w:ascii="Times New Roman" w:hAnsi="Times New Roman" w:cs="Times New Roman"/>
                <w:i/>
                <w:sz w:val="20"/>
                <w:szCs w:val="20"/>
              </w:rPr>
            </w:pPr>
          </w:p>
        </w:tc>
        <w:tc>
          <w:tcPr>
            <w:tcW w:w="1587"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586"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0.0750</w:t>
            </w:r>
          </w:p>
          <w:p w:rsidR="00E85194" w:rsidRPr="00D02300"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(0.00697</w:t>
            </w:r>
            <w:r w:rsidRPr="00D02300">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0.2218**</w:t>
            </w:r>
          </w:p>
          <w:p w:rsidR="00E85194" w:rsidRPr="00D02300"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(0.0959</w:t>
            </w:r>
            <w:r w:rsidRPr="00D02300">
              <w:rPr>
                <w:rFonts w:ascii="Times New Roman" w:hAnsi="Times New Roman" w:cs="Times New Roman"/>
                <w:sz w:val="28"/>
                <w:szCs w:val="20"/>
                <w:vertAlign w:val="superscript"/>
              </w:rPr>
              <w:t>)</w:t>
            </w:r>
          </w:p>
        </w:tc>
      </w:tr>
      <w:tr w:rsidR="00E85194" w:rsidTr="00536F3E">
        <w:tc>
          <w:tcPr>
            <w:tcW w:w="1789" w:type="dxa"/>
            <w:tcBorders>
              <w:top w:val="nil"/>
              <w:left w:val="nil"/>
              <w:bottom w:val="nil"/>
              <w:right w:val="nil"/>
            </w:tcBorders>
          </w:tcPr>
          <w:p w:rsidR="00E85194" w:rsidRDefault="00E85194" w:rsidP="00536F3E">
            <w:pPr>
              <w:rPr>
                <w:rFonts w:ascii="Times New Roman" w:hAnsi="Times New Roman" w:cs="Times New Roman"/>
                <w:i/>
                <w:sz w:val="20"/>
                <w:szCs w:val="20"/>
                <w:vertAlign w:val="subscript"/>
              </w:rPr>
            </w:pPr>
            <w:r>
              <w:rPr>
                <w:rFonts w:ascii="Times New Roman" w:hAnsi="Times New Roman" w:cs="Times New Roman"/>
                <w:i/>
                <w:sz w:val="20"/>
                <w:szCs w:val="20"/>
              </w:rPr>
              <w:t>Sales</w:t>
            </w:r>
            <w:r w:rsidRPr="009A001F">
              <w:rPr>
                <w:rFonts w:ascii="Times New Roman" w:hAnsi="Times New Roman" w:cs="Times New Roman"/>
                <w:i/>
                <w:sz w:val="20"/>
                <w:szCs w:val="20"/>
                <w:vertAlign w:val="subscript"/>
              </w:rPr>
              <w:t>i,t-1</w:t>
            </w:r>
          </w:p>
          <w:p w:rsidR="00E85194" w:rsidRDefault="00E85194" w:rsidP="00536F3E">
            <w:pPr>
              <w:rPr>
                <w:rFonts w:ascii="Times New Roman" w:hAnsi="Times New Roman" w:cs="Times New Roman"/>
                <w:i/>
                <w:sz w:val="20"/>
                <w:szCs w:val="20"/>
              </w:rPr>
            </w:pP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-0.0006</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(0.0038</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0.0021</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(0.0037</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0.0021</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(0.0037</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-0.0001</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(0.0038</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-0.0011</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(0.0038</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0.0034</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(0.0039</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0.0026</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(0.0040</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0.0003</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(0.0039</w:t>
            </w:r>
            <w:r w:rsidRPr="00AB0CE3">
              <w:rPr>
                <w:rFonts w:ascii="Times New Roman" w:hAnsi="Times New Roman" w:cs="Times New Roman"/>
                <w:sz w:val="28"/>
                <w:szCs w:val="20"/>
                <w:vertAlign w:val="superscript"/>
              </w:rPr>
              <w:t>)</w:t>
            </w:r>
          </w:p>
        </w:tc>
      </w:tr>
      <w:tr w:rsidR="00E85194" w:rsidTr="00536F3E">
        <w:tc>
          <w:tcPr>
            <w:tcW w:w="1789" w:type="dxa"/>
            <w:tcBorders>
              <w:top w:val="nil"/>
              <w:left w:val="nil"/>
              <w:bottom w:val="nil"/>
              <w:right w:val="nil"/>
            </w:tcBorders>
          </w:tcPr>
          <w:p w:rsidR="00E85194" w:rsidRDefault="00E85194" w:rsidP="00536F3E">
            <w:pPr>
              <w:rPr>
                <w:rFonts w:ascii="Times New Roman" w:hAnsi="Times New Roman" w:cs="Times New Roman"/>
                <w:i/>
                <w:sz w:val="20"/>
                <w:szCs w:val="20"/>
                <w:vertAlign w:val="subscript"/>
              </w:rPr>
            </w:pPr>
            <w:r>
              <w:rPr>
                <w:rFonts w:ascii="Times New Roman" w:hAnsi="Times New Roman" w:cs="Times New Roman"/>
                <w:i/>
                <w:sz w:val="20"/>
                <w:szCs w:val="20"/>
              </w:rPr>
              <w:t>Rated</w:t>
            </w:r>
            <w:r w:rsidRPr="009A001F">
              <w:rPr>
                <w:rFonts w:ascii="Times New Roman" w:hAnsi="Times New Roman" w:cs="Times New Roman"/>
                <w:i/>
                <w:sz w:val="20"/>
                <w:szCs w:val="20"/>
                <w:vertAlign w:val="subscript"/>
              </w:rPr>
              <w:t>i,t</w:t>
            </w:r>
          </w:p>
          <w:p w:rsidR="00E85194" w:rsidRDefault="00E85194" w:rsidP="00536F3E">
            <w:pPr>
              <w:rPr>
                <w:rFonts w:ascii="Times New Roman" w:hAnsi="Times New Roman" w:cs="Times New Roman"/>
                <w:i/>
                <w:sz w:val="20"/>
                <w:szCs w:val="20"/>
              </w:rPr>
            </w:pP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0.1124</w:t>
            </w:r>
            <w:r w:rsidRPr="00954DE4">
              <w:rPr>
                <w:rFonts w:ascii="Times New Roman" w:hAnsi="Times New Roman" w:cs="Times New Roman"/>
                <w:sz w:val="20"/>
                <w:szCs w:val="20"/>
              </w:rPr>
              <w:t>***</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(0.0108</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0.1109***</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(0.0108</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0.1126***</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(0.0108</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0.1122***</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(0.0108</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0.1297</w:t>
            </w:r>
            <w:r w:rsidRPr="00954DE4">
              <w:rPr>
                <w:rFonts w:ascii="Times New Roman" w:hAnsi="Times New Roman" w:cs="Times New Roman"/>
                <w:sz w:val="20"/>
                <w:szCs w:val="20"/>
              </w:rPr>
              <w:t>***</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(0.0173</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0.1274***</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(0.0171</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0.1287***</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(0.0172</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0.1308**</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(0.0172</w:t>
            </w:r>
            <w:r w:rsidRPr="00AB0CE3">
              <w:rPr>
                <w:rFonts w:ascii="Times New Roman" w:hAnsi="Times New Roman" w:cs="Times New Roman"/>
                <w:sz w:val="28"/>
                <w:szCs w:val="20"/>
                <w:vertAlign w:val="superscript"/>
              </w:rPr>
              <w:t>)</w:t>
            </w:r>
          </w:p>
        </w:tc>
      </w:tr>
      <w:tr w:rsidR="00E85194" w:rsidTr="00536F3E">
        <w:tc>
          <w:tcPr>
            <w:tcW w:w="1789" w:type="dxa"/>
            <w:tcBorders>
              <w:top w:val="nil"/>
              <w:left w:val="nil"/>
              <w:bottom w:val="nil"/>
              <w:right w:val="nil"/>
            </w:tcBorders>
          </w:tcPr>
          <w:p w:rsidR="00E85194" w:rsidRDefault="00E85194" w:rsidP="00536F3E">
            <w:pPr>
              <w:rPr>
                <w:rFonts w:ascii="Times New Roman" w:hAnsi="Times New Roman" w:cs="Times New Roman"/>
                <w:i/>
                <w:sz w:val="20"/>
                <w:szCs w:val="20"/>
                <w:vertAlign w:val="subscript"/>
              </w:rPr>
            </w:pPr>
            <w:r>
              <w:rPr>
                <w:rFonts w:ascii="Times New Roman" w:hAnsi="Times New Roman" w:cs="Times New Roman"/>
                <w:i/>
                <w:sz w:val="20"/>
                <w:szCs w:val="20"/>
              </w:rPr>
              <w:t>Ppeb</w:t>
            </w:r>
            <w:r w:rsidRPr="009A001F">
              <w:rPr>
                <w:rFonts w:ascii="Times New Roman" w:hAnsi="Times New Roman" w:cs="Times New Roman"/>
                <w:i/>
                <w:sz w:val="20"/>
                <w:szCs w:val="20"/>
                <w:vertAlign w:val="subscript"/>
              </w:rPr>
              <w:t>i,t</w:t>
            </w:r>
          </w:p>
          <w:p w:rsidR="00E85194" w:rsidRDefault="00E85194" w:rsidP="00536F3E">
            <w:pPr>
              <w:rPr>
                <w:rFonts w:ascii="Times New Roman" w:hAnsi="Times New Roman" w:cs="Times New Roman"/>
                <w:i/>
                <w:sz w:val="20"/>
                <w:szCs w:val="20"/>
              </w:rPr>
            </w:pP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0.2148</w:t>
            </w:r>
            <w:r w:rsidRPr="00954DE4">
              <w:rPr>
                <w:rFonts w:ascii="Times New Roman" w:hAnsi="Times New Roman" w:cs="Times New Roman"/>
                <w:sz w:val="20"/>
                <w:szCs w:val="20"/>
              </w:rPr>
              <w:t>***</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(0.0280</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0.2034***</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(0.0277</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0.2096***</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(0.0280</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0.2136***</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(0.0280</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0.2887</w:t>
            </w:r>
            <w:r w:rsidRPr="00954DE4">
              <w:rPr>
                <w:rFonts w:ascii="Times New Roman" w:hAnsi="Times New Roman" w:cs="Times New Roman"/>
                <w:sz w:val="20"/>
                <w:szCs w:val="20"/>
              </w:rPr>
              <w:t>***</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(0.0305</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0.2707***</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(0.0304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0.2862***</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(0.0304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0.2841***</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(0.0305</w:t>
            </w:r>
            <w:r w:rsidRPr="00AB0CE3">
              <w:rPr>
                <w:rFonts w:ascii="Times New Roman" w:hAnsi="Times New Roman" w:cs="Times New Roman"/>
                <w:sz w:val="28"/>
                <w:szCs w:val="20"/>
                <w:vertAlign w:val="superscript"/>
              </w:rPr>
              <w:t>)</w:t>
            </w:r>
          </w:p>
        </w:tc>
      </w:tr>
      <w:tr w:rsidR="00E85194" w:rsidTr="00536F3E">
        <w:tc>
          <w:tcPr>
            <w:tcW w:w="1789" w:type="dxa"/>
            <w:tcBorders>
              <w:top w:val="nil"/>
              <w:left w:val="nil"/>
              <w:bottom w:val="nil"/>
              <w:right w:val="nil"/>
            </w:tcBorders>
          </w:tcPr>
          <w:p w:rsidR="00E85194" w:rsidRDefault="00E85194" w:rsidP="00536F3E">
            <w:pPr>
              <w:rPr>
                <w:rFonts w:ascii="Times New Roman" w:hAnsi="Times New Roman" w:cs="Times New Roman"/>
                <w:i/>
                <w:sz w:val="20"/>
                <w:szCs w:val="20"/>
                <w:vertAlign w:val="subscript"/>
              </w:rPr>
            </w:pPr>
            <w:r>
              <w:rPr>
                <w:rFonts w:ascii="Times New Roman" w:hAnsi="Times New Roman" w:cs="Times New Roman"/>
                <w:i/>
                <w:sz w:val="20"/>
                <w:szCs w:val="20"/>
              </w:rPr>
              <w:t>Roa</w:t>
            </w:r>
            <w:r w:rsidRPr="009A001F">
              <w:rPr>
                <w:rFonts w:ascii="Times New Roman" w:hAnsi="Times New Roman" w:cs="Times New Roman"/>
                <w:i/>
                <w:sz w:val="20"/>
                <w:szCs w:val="20"/>
                <w:vertAlign w:val="subscript"/>
              </w:rPr>
              <w:t>i,t</w:t>
            </w:r>
          </w:p>
          <w:p w:rsidR="00E85194" w:rsidRDefault="00E85194" w:rsidP="00536F3E">
            <w:pPr>
              <w:rPr>
                <w:rFonts w:ascii="Times New Roman" w:hAnsi="Times New Roman" w:cs="Times New Roman"/>
                <w:i/>
                <w:sz w:val="20"/>
                <w:szCs w:val="20"/>
              </w:rPr>
            </w:pP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-0.3433</w:t>
            </w:r>
            <w:r w:rsidRPr="00954DE4">
              <w:rPr>
                <w:rFonts w:ascii="Times New Roman" w:hAnsi="Times New Roman" w:cs="Times New Roman"/>
                <w:sz w:val="20"/>
                <w:szCs w:val="20"/>
              </w:rPr>
              <w:t>*</w:t>
            </w:r>
            <w:r>
              <w:rPr>
                <w:rFonts w:ascii="Times New Roman" w:hAnsi="Times New Roman" w:cs="Times New Roman"/>
                <w:sz w:val="20"/>
                <w:szCs w:val="20"/>
              </w:rPr>
              <w:t>**</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(0.0486</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-0.2788***</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(0.0494</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-0.2873***</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(0.0553</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-0.3469***</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(0.0486</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-0.3071</w:t>
            </w:r>
            <w:r w:rsidRPr="00954DE4">
              <w:rPr>
                <w:rFonts w:ascii="Times New Roman" w:hAnsi="Times New Roman" w:cs="Times New Roman"/>
                <w:sz w:val="20"/>
                <w:szCs w:val="20"/>
              </w:rPr>
              <w:t>*</w:t>
            </w:r>
            <w:r>
              <w:rPr>
                <w:rFonts w:ascii="Times New Roman" w:hAnsi="Times New Roman" w:cs="Times New Roman"/>
                <w:sz w:val="20"/>
                <w:szCs w:val="20"/>
              </w:rPr>
              <w:t>**</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(0.0544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-0.2148***</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(0.0568</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-0.2434***</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(0.0584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-0.3177***</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(0.0545</w:t>
            </w:r>
            <w:r w:rsidRPr="00AB0CE3">
              <w:rPr>
                <w:rFonts w:ascii="Times New Roman" w:hAnsi="Times New Roman" w:cs="Times New Roman"/>
                <w:sz w:val="28"/>
                <w:szCs w:val="20"/>
                <w:vertAlign w:val="superscript"/>
              </w:rPr>
              <w:t>)</w:t>
            </w:r>
          </w:p>
        </w:tc>
      </w:tr>
      <w:tr w:rsidR="00E85194" w:rsidTr="00536F3E">
        <w:tc>
          <w:tcPr>
            <w:tcW w:w="1789" w:type="dxa"/>
            <w:tcBorders>
              <w:top w:val="nil"/>
              <w:left w:val="nil"/>
              <w:bottom w:val="nil"/>
              <w:right w:val="nil"/>
            </w:tcBorders>
          </w:tcPr>
          <w:p w:rsidR="00E85194" w:rsidRDefault="00E85194" w:rsidP="00536F3E">
            <w:pPr>
              <w:rPr>
                <w:rFonts w:ascii="Times New Roman" w:hAnsi="Times New Roman" w:cs="Times New Roman"/>
                <w:i/>
                <w:sz w:val="20"/>
                <w:szCs w:val="20"/>
                <w:vertAlign w:val="subscript"/>
              </w:rPr>
            </w:pPr>
            <w:r>
              <w:rPr>
                <w:rFonts w:ascii="Times New Roman" w:hAnsi="Times New Roman" w:cs="Times New Roman"/>
                <w:i/>
                <w:sz w:val="20"/>
                <w:szCs w:val="20"/>
              </w:rPr>
              <w:t>Divs</w:t>
            </w:r>
            <w:r w:rsidRPr="009A001F">
              <w:rPr>
                <w:rFonts w:ascii="Times New Roman" w:hAnsi="Times New Roman" w:cs="Times New Roman"/>
                <w:i/>
                <w:sz w:val="20"/>
                <w:szCs w:val="20"/>
                <w:vertAlign w:val="subscript"/>
              </w:rPr>
              <w:t>i,t</w:t>
            </w:r>
          </w:p>
          <w:p w:rsidR="00E85194" w:rsidRDefault="00E85194" w:rsidP="00536F3E">
            <w:pPr>
              <w:rPr>
                <w:rFonts w:ascii="Times New Roman" w:hAnsi="Times New Roman" w:cs="Times New Roman"/>
                <w:i/>
                <w:sz w:val="20"/>
                <w:szCs w:val="20"/>
              </w:rPr>
            </w:pP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-0.0344***</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(0.0095</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-0.0264***</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(0.0094</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-0.0307***</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(0.0095</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-0.0350***</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(0.0095</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-0.0464***</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(0.0123</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-0.0356***</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(0.0123</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-0.0405***</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(0.0124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-0.0489***</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(0.0123</w:t>
            </w:r>
            <w:r w:rsidRPr="00AB0CE3">
              <w:rPr>
                <w:rFonts w:ascii="Times New Roman" w:hAnsi="Times New Roman" w:cs="Times New Roman"/>
                <w:sz w:val="28"/>
                <w:szCs w:val="20"/>
                <w:vertAlign w:val="superscript"/>
              </w:rPr>
              <w:t>)</w:t>
            </w:r>
          </w:p>
        </w:tc>
      </w:tr>
      <w:tr w:rsidR="00E85194" w:rsidTr="00536F3E">
        <w:tc>
          <w:tcPr>
            <w:tcW w:w="1789" w:type="dxa"/>
            <w:tcBorders>
              <w:top w:val="nil"/>
              <w:left w:val="nil"/>
              <w:bottom w:val="nil"/>
              <w:right w:val="nil"/>
            </w:tcBorders>
          </w:tcPr>
          <w:p w:rsidR="00E85194" w:rsidRDefault="00E85194" w:rsidP="00536F3E">
            <w:pPr>
              <w:rPr>
                <w:rFonts w:ascii="Times New Roman" w:hAnsi="Times New Roman" w:cs="Times New Roman"/>
                <w:i/>
                <w:sz w:val="20"/>
                <w:szCs w:val="20"/>
                <w:vertAlign w:val="subscript"/>
              </w:rPr>
            </w:pPr>
            <w:r>
              <w:rPr>
                <w:rFonts w:ascii="Times New Roman" w:hAnsi="Times New Roman" w:cs="Times New Roman"/>
                <w:i/>
                <w:sz w:val="20"/>
                <w:szCs w:val="20"/>
              </w:rPr>
              <w:t>Rd</w:t>
            </w:r>
            <w:r w:rsidRPr="009A001F">
              <w:rPr>
                <w:rFonts w:ascii="Times New Roman" w:hAnsi="Times New Roman" w:cs="Times New Roman"/>
                <w:i/>
                <w:sz w:val="20"/>
                <w:szCs w:val="20"/>
                <w:vertAlign w:val="subscript"/>
              </w:rPr>
              <w:t>i,t</w:t>
            </w:r>
          </w:p>
          <w:p w:rsidR="00E85194" w:rsidRDefault="00E85194" w:rsidP="00536F3E">
            <w:pPr>
              <w:rPr>
                <w:rFonts w:ascii="Times New Roman" w:hAnsi="Times New Roman" w:cs="Times New Roman"/>
                <w:i/>
                <w:sz w:val="20"/>
                <w:szCs w:val="20"/>
              </w:rPr>
            </w:pP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-0.0628**</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(0.0253</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-0.0703***</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(0.0259</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-0.0681***</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(0.0264</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-0.0619**</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(0.0250</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-0.0626**</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(0.0286</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-0.0719**</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(0.0284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-0.0656**</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(0.0286</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-0.0611**</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(0.0286</w:t>
            </w:r>
            <w:r w:rsidRPr="00AB0CE3">
              <w:rPr>
                <w:rFonts w:ascii="Times New Roman" w:hAnsi="Times New Roman" w:cs="Times New Roman"/>
                <w:sz w:val="28"/>
                <w:szCs w:val="20"/>
                <w:vertAlign w:val="superscript"/>
              </w:rPr>
              <w:t>)</w:t>
            </w:r>
          </w:p>
        </w:tc>
      </w:tr>
      <w:tr w:rsidR="00E85194" w:rsidTr="00536F3E">
        <w:tc>
          <w:tcPr>
            <w:tcW w:w="1789" w:type="dxa"/>
            <w:tcBorders>
              <w:top w:val="nil"/>
              <w:left w:val="nil"/>
              <w:bottom w:val="nil"/>
              <w:right w:val="nil"/>
            </w:tcBorders>
          </w:tcPr>
          <w:p w:rsidR="00E85194" w:rsidRDefault="00E85194" w:rsidP="00536F3E">
            <w:pPr>
              <w:rPr>
                <w:rFonts w:ascii="Times New Roman" w:hAnsi="Times New Roman" w:cs="Times New Roman"/>
                <w:i/>
                <w:sz w:val="20"/>
                <w:szCs w:val="20"/>
                <w:vertAlign w:val="subscript"/>
              </w:rPr>
            </w:pPr>
            <w:r>
              <w:rPr>
                <w:rFonts w:ascii="Times New Roman" w:hAnsi="Times New Roman" w:cs="Times New Roman"/>
                <w:i/>
                <w:sz w:val="20"/>
                <w:szCs w:val="20"/>
              </w:rPr>
              <w:t>Adv</w:t>
            </w:r>
            <w:r w:rsidRPr="009A001F">
              <w:rPr>
                <w:rFonts w:ascii="Times New Roman" w:hAnsi="Times New Roman" w:cs="Times New Roman"/>
                <w:i/>
                <w:sz w:val="20"/>
                <w:szCs w:val="20"/>
                <w:vertAlign w:val="subscript"/>
              </w:rPr>
              <w:t>i,t</w:t>
            </w:r>
          </w:p>
          <w:p w:rsidR="00E85194" w:rsidRDefault="00E85194" w:rsidP="00536F3E">
            <w:pPr>
              <w:rPr>
                <w:rFonts w:ascii="Times New Roman" w:hAnsi="Times New Roman" w:cs="Times New Roman"/>
                <w:i/>
                <w:sz w:val="20"/>
                <w:szCs w:val="20"/>
              </w:rPr>
            </w:pP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0.1649</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(0.1386</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0.1736</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(0.1363</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0.1560</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(0.1400</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0.1703</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(0.1393</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0.1060</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(0.2010</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0.1374</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(0.1990</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0.1044</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(0.2004</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0.1110</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(0.2007</w:t>
            </w:r>
            <w:r w:rsidRPr="00AB0CE3">
              <w:rPr>
                <w:rFonts w:ascii="Times New Roman" w:hAnsi="Times New Roman" w:cs="Times New Roman"/>
                <w:sz w:val="28"/>
                <w:szCs w:val="20"/>
                <w:vertAlign w:val="superscript"/>
              </w:rPr>
              <w:t>)</w:t>
            </w:r>
          </w:p>
        </w:tc>
      </w:tr>
      <w:tr w:rsidR="00E85194" w:rsidTr="00536F3E">
        <w:tc>
          <w:tcPr>
            <w:tcW w:w="1789" w:type="dxa"/>
            <w:tcBorders>
              <w:top w:val="nil"/>
              <w:left w:val="nil"/>
              <w:bottom w:val="nil"/>
              <w:right w:val="nil"/>
            </w:tcBorders>
          </w:tcPr>
          <w:p w:rsidR="00E85194" w:rsidRDefault="00E85194" w:rsidP="00536F3E">
            <w:pPr>
              <w:rPr>
                <w:rFonts w:ascii="Times New Roman" w:hAnsi="Times New Roman" w:cs="Times New Roman"/>
                <w:i/>
                <w:sz w:val="20"/>
                <w:szCs w:val="20"/>
                <w:vertAlign w:val="subscript"/>
              </w:rPr>
            </w:pPr>
            <w:r>
              <w:rPr>
                <w:rFonts w:ascii="Times New Roman" w:hAnsi="Times New Roman" w:cs="Times New Roman"/>
                <w:i/>
                <w:sz w:val="20"/>
                <w:szCs w:val="20"/>
              </w:rPr>
              <w:t>Mb</w:t>
            </w:r>
            <w:r w:rsidRPr="009A001F">
              <w:rPr>
                <w:rFonts w:ascii="Times New Roman" w:hAnsi="Times New Roman" w:cs="Times New Roman"/>
                <w:i/>
                <w:sz w:val="20"/>
                <w:szCs w:val="20"/>
                <w:vertAlign w:val="subscript"/>
              </w:rPr>
              <w:t>i,t</w:t>
            </w:r>
          </w:p>
          <w:p w:rsidR="00E85194" w:rsidRDefault="00E85194" w:rsidP="00536F3E">
            <w:pPr>
              <w:rPr>
                <w:rFonts w:ascii="Times New Roman" w:hAnsi="Times New Roman" w:cs="Times New Roman"/>
                <w:i/>
                <w:sz w:val="20"/>
                <w:szCs w:val="20"/>
              </w:rPr>
            </w:pP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-0.0550***</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(0.0070</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-0.0537***</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(0.0068</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-0.0550***</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(0.0065</w:t>
            </w:r>
            <w:r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-0.0526***</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(0.0069</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-0.0501***</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(0.0062</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-0.0502***</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(0.0062</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-0.0519***</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(0.0062</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E85194" w:rsidRDefault="00E85194" w:rsidP="00536F3E">
            <w:pPr>
              <w:jc w:val="center"/>
              <w:rPr>
                <w:rFonts w:ascii="Times New Roman" w:hAnsi="Times New Roman" w:cs="Times New Roman"/>
                <w:sz w:val="20"/>
                <w:szCs w:val="20"/>
              </w:rPr>
            </w:pPr>
            <w:r>
              <w:rPr>
                <w:rFonts w:ascii="Times New Roman" w:hAnsi="Times New Roman" w:cs="Times New Roman"/>
                <w:sz w:val="20"/>
                <w:szCs w:val="20"/>
              </w:rPr>
              <w:t>-0.0495***</w:t>
            </w:r>
          </w:p>
          <w:p w:rsidR="00E85194" w:rsidRPr="00AB0CE3" w:rsidRDefault="00E8519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(0.0062</w:t>
            </w:r>
            <w:r w:rsidRPr="00AB0CE3">
              <w:rPr>
                <w:rFonts w:ascii="Times New Roman" w:hAnsi="Times New Roman" w:cs="Times New Roman"/>
                <w:sz w:val="28"/>
                <w:szCs w:val="20"/>
                <w:vertAlign w:val="superscript"/>
              </w:rPr>
              <w:t>)</w:t>
            </w:r>
          </w:p>
        </w:tc>
      </w:tr>
      <w:tr w:rsidR="00E85194" w:rsidTr="00536F3E">
        <w:tc>
          <w:tcPr>
            <w:tcW w:w="1789" w:type="dxa"/>
            <w:tcBorders>
              <w:top w:val="nil"/>
              <w:left w:val="nil"/>
              <w:bottom w:val="nil"/>
              <w:right w:val="nil"/>
            </w:tcBorders>
          </w:tcPr>
          <w:p w:rsidR="00E85194" w:rsidRDefault="00E85194" w:rsidP="00536F3E">
            <w:pPr>
              <w:rPr>
                <w:rFonts w:ascii="Times New Roman" w:hAnsi="Times New Roman" w:cs="Times New Roman"/>
                <w:i/>
                <w:sz w:val="20"/>
                <w:szCs w:val="20"/>
              </w:rPr>
            </w:pPr>
          </w:p>
        </w:tc>
        <w:tc>
          <w:tcPr>
            <w:tcW w:w="1587"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586"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p>
        </w:tc>
      </w:tr>
      <w:tr w:rsidR="00E85194" w:rsidTr="00536F3E">
        <w:tc>
          <w:tcPr>
            <w:tcW w:w="1789" w:type="dxa"/>
            <w:tcBorders>
              <w:top w:val="nil"/>
              <w:left w:val="nil"/>
              <w:bottom w:val="nil"/>
              <w:right w:val="nil"/>
            </w:tcBorders>
          </w:tcPr>
          <w:p w:rsidR="00E85194" w:rsidRPr="00954DE4" w:rsidRDefault="00E85194" w:rsidP="00536F3E">
            <w:pPr>
              <w:rPr>
                <w:rFonts w:ascii="Times New Roman" w:hAnsi="Times New Roman" w:cs="Times New Roman"/>
                <w:sz w:val="20"/>
                <w:szCs w:val="20"/>
              </w:rPr>
            </w:pPr>
            <w:r>
              <w:rPr>
                <w:rFonts w:ascii="Times New Roman" w:hAnsi="Times New Roman" w:cs="Times New Roman"/>
                <w:sz w:val="20"/>
                <w:szCs w:val="20"/>
              </w:rPr>
              <w:t>N</w:t>
            </w:r>
          </w:p>
        </w:tc>
        <w:tc>
          <w:tcPr>
            <w:tcW w:w="1587"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587"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587"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586"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260" w:type="dxa"/>
            <w:tcBorders>
              <w:top w:val="nil"/>
              <w:left w:val="nil"/>
              <w:bottom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5116</w:t>
            </w:r>
          </w:p>
        </w:tc>
      </w:tr>
      <w:tr w:rsidR="00E85194" w:rsidTr="00536F3E">
        <w:tc>
          <w:tcPr>
            <w:tcW w:w="1789" w:type="dxa"/>
            <w:tcBorders>
              <w:top w:val="nil"/>
              <w:left w:val="nil"/>
              <w:right w:val="nil"/>
            </w:tcBorders>
          </w:tcPr>
          <w:p w:rsidR="00E85194" w:rsidRPr="009A001F" w:rsidRDefault="00E85194" w:rsidP="00536F3E">
            <w:pPr>
              <w:rPr>
                <w:rFonts w:ascii="Times New Roman" w:hAnsi="Times New Roman" w:cs="Times New Roman"/>
                <w:sz w:val="20"/>
                <w:szCs w:val="20"/>
              </w:rPr>
            </w:pPr>
            <w:r>
              <w:rPr>
                <w:rFonts w:ascii="Times New Roman" w:hAnsi="Times New Roman" w:cs="Times New Roman"/>
                <w:sz w:val="20"/>
                <w:szCs w:val="20"/>
              </w:rPr>
              <w:t>R</w:t>
            </w:r>
            <w:r w:rsidRPr="009A001F">
              <w:rPr>
                <w:rFonts w:ascii="Times New Roman" w:hAnsi="Times New Roman" w:cs="Times New Roman"/>
                <w:sz w:val="20"/>
                <w:szCs w:val="20"/>
                <w:vertAlign w:val="superscript"/>
              </w:rPr>
              <w:t>2</w:t>
            </w:r>
          </w:p>
        </w:tc>
        <w:tc>
          <w:tcPr>
            <w:tcW w:w="1587" w:type="dxa"/>
            <w:tcBorders>
              <w:top w:val="nil"/>
              <w:left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0.2735</w:t>
            </w:r>
          </w:p>
        </w:tc>
        <w:tc>
          <w:tcPr>
            <w:tcW w:w="1587" w:type="dxa"/>
            <w:tcBorders>
              <w:top w:val="nil"/>
              <w:left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0.2841</w:t>
            </w:r>
          </w:p>
        </w:tc>
        <w:tc>
          <w:tcPr>
            <w:tcW w:w="1587" w:type="dxa"/>
            <w:tcBorders>
              <w:top w:val="nil"/>
              <w:left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0.2774</w:t>
            </w:r>
          </w:p>
        </w:tc>
        <w:tc>
          <w:tcPr>
            <w:tcW w:w="1586" w:type="dxa"/>
            <w:tcBorders>
              <w:top w:val="nil"/>
              <w:left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0.2739</w:t>
            </w:r>
          </w:p>
        </w:tc>
        <w:tc>
          <w:tcPr>
            <w:tcW w:w="1260" w:type="dxa"/>
            <w:tcBorders>
              <w:top w:val="nil"/>
              <w:left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0.2459</w:t>
            </w:r>
          </w:p>
        </w:tc>
        <w:tc>
          <w:tcPr>
            <w:tcW w:w="1260" w:type="dxa"/>
            <w:tcBorders>
              <w:top w:val="nil"/>
              <w:left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0.2620</w:t>
            </w:r>
          </w:p>
        </w:tc>
        <w:tc>
          <w:tcPr>
            <w:tcW w:w="1260" w:type="dxa"/>
            <w:tcBorders>
              <w:top w:val="nil"/>
              <w:left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0.2512</w:t>
            </w:r>
          </w:p>
        </w:tc>
        <w:tc>
          <w:tcPr>
            <w:tcW w:w="1260" w:type="dxa"/>
            <w:tcBorders>
              <w:top w:val="nil"/>
              <w:left w:val="nil"/>
              <w:right w:val="nil"/>
            </w:tcBorders>
          </w:tcPr>
          <w:p w:rsidR="00E85194" w:rsidRPr="0075597C" w:rsidRDefault="00E85194" w:rsidP="00536F3E">
            <w:pPr>
              <w:jc w:val="center"/>
              <w:rPr>
                <w:rFonts w:ascii="Times New Roman" w:hAnsi="Times New Roman" w:cs="Times New Roman"/>
                <w:sz w:val="20"/>
                <w:szCs w:val="20"/>
              </w:rPr>
            </w:pPr>
            <w:r>
              <w:rPr>
                <w:rFonts w:ascii="Times New Roman" w:hAnsi="Times New Roman" w:cs="Times New Roman"/>
                <w:sz w:val="20"/>
                <w:szCs w:val="20"/>
              </w:rPr>
              <w:t>0.2493</w:t>
            </w:r>
          </w:p>
        </w:tc>
      </w:tr>
    </w:tbl>
    <w:p w:rsidR="00E85194" w:rsidRDefault="00E85194"/>
    <w:p w:rsidR="006F1C86" w:rsidRDefault="006F1C86"/>
    <w:p w:rsidR="006F1C86" w:rsidRDefault="006F1C86"/>
    <w:p w:rsidR="006F1C86" w:rsidRDefault="006F1C86"/>
    <w:p w:rsidR="006F1C86" w:rsidRDefault="006F1C86"/>
    <w:p w:rsidR="006F1C86" w:rsidRDefault="006F1C86" w:rsidP="006F1C86"/>
    <w:p w:rsidR="006F1C86" w:rsidRDefault="006F1C86" w:rsidP="006F1C86"/>
    <w:p w:rsidR="006F1C86" w:rsidRDefault="006F1C86" w:rsidP="006F1C86"/>
    <w:p w:rsidR="006F1C86" w:rsidRDefault="006F1C86" w:rsidP="006F1C86"/>
    <w:p w:rsidR="006F1C86" w:rsidRDefault="006F1C86" w:rsidP="006F1C86"/>
    <w:p w:rsidR="006F1C86" w:rsidRDefault="006F1C86" w:rsidP="006F1C86"/>
    <w:tbl>
      <w:tblPr>
        <w:tblStyle w:val="TableGrid"/>
        <w:tblW w:w="0" w:type="auto"/>
        <w:tblLook w:val="04A0" w:firstRow="1" w:lastRow="0" w:firstColumn="1" w:lastColumn="0" w:noHBand="0" w:noVBand="1"/>
      </w:tblPr>
      <w:tblGrid>
        <w:gridCol w:w="1789"/>
        <w:gridCol w:w="1587"/>
        <w:gridCol w:w="1587"/>
        <w:gridCol w:w="1587"/>
        <w:gridCol w:w="1586"/>
        <w:gridCol w:w="1260"/>
        <w:gridCol w:w="1260"/>
        <w:gridCol w:w="1260"/>
        <w:gridCol w:w="1260"/>
      </w:tblGrid>
      <w:tr w:rsidR="006F1C86" w:rsidTr="00536F3E">
        <w:tc>
          <w:tcPr>
            <w:tcW w:w="13176" w:type="dxa"/>
            <w:gridSpan w:val="9"/>
            <w:tcBorders>
              <w:top w:val="nil"/>
              <w:left w:val="nil"/>
              <w:bottom w:val="nil"/>
              <w:right w:val="nil"/>
            </w:tcBorders>
          </w:tcPr>
          <w:p w:rsidR="006F1C86" w:rsidRPr="00606CEE" w:rsidRDefault="006F1C86" w:rsidP="00536F3E">
            <w:pPr>
              <w:rPr>
                <w:rFonts w:ascii="Times New Roman" w:hAnsi="Times New Roman" w:cs="Times New Roman"/>
                <w:b/>
                <w:sz w:val="20"/>
                <w:szCs w:val="20"/>
              </w:rPr>
            </w:pPr>
            <w:r>
              <w:rPr>
                <w:rFonts w:ascii="Times New Roman" w:hAnsi="Times New Roman" w:cs="Times New Roman"/>
                <w:b/>
                <w:sz w:val="20"/>
                <w:szCs w:val="20"/>
              </w:rPr>
              <w:t>Table 4</w:t>
            </w:r>
          </w:p>
          <w:p w:rsidR="006F1C86" w:rsidRPr="00606CEE" w:rsidRDefault="00DF14D3" w:rsidP="00536F3E">
            <w:pPr>
              <w:rPr>
                <w:rFonts w:ascii="Times New Roman" w:hAnsi="Times New Roman" w:cs="Times New Roman"/>
                <w:b/>
                <w:sz w:val="20"/>
                <w:szCs w:val="20"/>
              </w:rPr>
            </w:pPr>
            <w:r>
              <w:rPr>
                <w:rFonts w:ascii="Times New Roman" w:hAnsi="Times New Roman" w:cs="Times New Roman"/>
                <w:b/>
                <w:sz w:val="20"/>
                <w:szCs w:val="20"/>
              </w:rPr>
              <w:t xml:space="preserve">Net </w:t>
            </w:r>
            <w:r w:rsidR="006F1C86" w:rsidRPr="00606CEE">
              <w:rPr>
                <w:rFonts w:ascii="Times New Roman" w:hAnsi="Times New Roman" w:cs="Times New Roman"/>
                <w:b/>
                <w:sz w:val="20"/>
                <w:szCs w:val="20"/>
              </w:rPr>
              <w:t>Book Leverage Regressions</w:t>
            </w:r>
          </w:p>
          <w:p w:rsidR="006F1C86" w:rsidRDefault="006F1C86" w:rsidP="00536F3E">
            <w:pPr>
              <w:rPr>
                <w:rFonts w:ascii="Times New Roman" w:hAnsi="Times New Roman" w:cs="Times New Roman"/>
                <w:sz w:val="20"/>
                <w:szCs w:val="20"/>
              </w:rPr>
            </w:pPr>
            <w:r w:rsidRPr="008D5EED">
              <w:rPr>
                <w:rFonts w:ascii="Times New Roman" w:hAnsi="Times New Roman" w:cs="Times New Roman"/>
                <w:sz w:val="20"/>
                <w:szCs w:val="20"/>
              </w:rPr>
              <w:t>The table reports the results from estima</w:t>
            </w:r>
            <w:r>
              <w:rPr>
                <w:rFonts w:ascii="Times New Roman" w:hAnsi="Times New Roman" w:cs="Times New Roman"/>
                <w:sz w:val="20"/>
                <w:szCs w:val="20"/>
              </w:rPr>
              <w:t>ting the following OLS equation in columns I-IV:</w:t>
            </w:r>
          </w:p>
          <w:p w:rsidR="006F1C86" w:rsidRPr="0067227A"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eastAsiaTheme="minorEastAsia" w:hAnsi="Times New Roman" w:cs="Times New Roman"/>
                <w:sz w:val="20"/>
                <w:szCs w:val="20"/>
              </w:rPr>
            </w:pPr>
            <m:oMath>
              <m:r>
                <w:rPr>
                  <w:rFonts w:ascii="Cambria Math" w:hAnsi="Cambria Math" w:cs="Times New Roman"/>
                  <w:sz w:val="20"/>
                  <w:szCs w:val="20"/>
                </w:rPr>
                <m:t xml:space="preserve">        Net BV Le</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tax+</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r>
                <w:rPr>
                  <w:rFonts w:ascii="Cambria Math" w:hAnsi="Cambria Math" w:cs="Times New Roman"/>
                  <w:sz w:val="20"/>
                  <w:szCs w:val="20"/>
                </w:rPr>
                <m:t>sale</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ed</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r>
                <w:rPr>
                  <w:rFonts w:ascii="Cambria Math" w:hAnsi="Cambria Math" w:cs="Times New Roman"/>
                  <w:sz w:val="20"/>
                  <w:szCs w:val="20"/>
                </w:rPr>
                <m:t>ppe</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r>
                <w:rPr>
                  <w:rFonts w:ascii="Cambria Math" w:hAnsi="Cambria Math" w:cs="Times New Roman"/>
                  <w:sz w:val="20"/>
                  <w:szCs w:val="20"/>
                </w:rPr>
                <m:t>ro</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6</m:t>
                  </m:r>
                </m:sub>
              </m:sSub>
              <m:r>
                <w:rPr>
                  <w:rFonts w:ascii="Cambria Math" w:hAnsi="Cambria Math" w:cs="Times New Roman"/>
                  <w:sz w:val="20"/>
                  <w:szCs w:val="20"/>
                </w:rPr>
                <m:t>div</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7</m:t>
                  </m:r>
                </m:sub>
              </m:sSub>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8</m:t>
                  </m:r>
                </m:sub>
              </m:sSub>
              <m:r>
                <w:rPr>
                  <w:rFonts w:ascii="Cambria Math" w:hAnsi="Cambria Math" w:cs="Times New Roman"/>
                  <w:sz w:val="20"/>
                  <w:szCs w:val="20"/>
                </w:rPr>
                <m:t>ad</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9</m:t>
                  </m:r>
                </m:sub>
              </m:sSub>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10</m:t>
                  </m:r>
                </m:sub>
              </m:sSub>
              <m:r>
                <w:rPr>
                  <w:rFonts w:ascii="Cambria Math" w:hAnsi="Cambria Math" w:cs="Times New Roman"/>
                  <w:sz w:val="20"/>
                  <w:szCs w:val="20"/>
                </w:rPr>
                <m:t xml:space="preserve">dyear2003+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11</m:t>
                  </m:r>
                </m:sub>
              </m:sSub>
              <m:r>
                <w:rPr>
                  <w:rFonts w:ascii="Cambria Math" w:hAnsi="Cambria Math" w:cs="Times New Roman"/>
                  <w:sz w:val="20"/>
                  <w:szCs w:val="20"/>
                </w:rPr>
                <m:t xml:space="preserve">dyear2004+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12</m:t>
                  </m:r>
                </m:sub>
              </m:sSub>
              <m:r>
                <w:rPr>
                  <w:rFonts w:ascii="Cambria Math" w:hAnsi="Cambria Math" w:cs="Times New Roman"/>
                  <w:sz w:val="20"/>
                  <w:szCs w:val="20"/>
                </w:rPr>
                <m:t xml:space="preserve">dyear2005+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13</m:t>
                  </m:r>
                </m:sub>
              </m:sSub>
              <m:r>
                <w:rPr>
                  <w:rFonts w:ascii="Cambria Math" w:hAnsi="Cambria Math" w:cs="Times New Roman"/>
                  <w:sz w:val="20"/>
                  <w:szCs w:val="20"/>
                </w:rPr>
                <m:t xml:space="preserve">dyear2006+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14</m:t>
                  </m:r>
                </m:sub>
              </m:sSub>
              <m:r>
                <w:rPr>
                  <w:rFonts w:ascii="Cambria Math" w:hAnsi="Cambria Math" w:cs="Times New Roman"/>
                  <w:sz w:val="20"/>
                  <w:szCs w:val="20"/>
                </w:rPr>
                <m:t xml:space="preserve">dyear2007+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15</m:t>
                  </m:r>
                </m:sub>
              </m:sSub>
              <m:r>
                <w:rPr>
                  <w:rFonts w:ascii="Cambria Math" w:hAnsi="Cambria Math" w:cs="Times New Roman"/>
                  <w:sz w:val="20"/>
                  <w:szCs w:val="20"/>
                </w:rPr>
                <m:t>dyear2008+</m:t>
              </m:r>
              <m:sSub>
                <m:sSubPr>
                  <m:ctrlPr>
                    <w:rPr>
                      <w:rFonts w:ascii="Cambria Math" w:hAnsi="Cambria Math" w:cs="Times New Roman"/>
                      <w:i/>
                      <w:sz w:val="20"/>
                      <w:szCs w:val="20"/>
                    </w:rPr>
                  </m:ctrlPr>
                </m:sSubPr>
                <m:e>
                  <m:r>
                    <w:rPr>
                      <w:rFonts w:ascii="Cambria Math" w:hAnsi="Cambria Math" w:cs="Times New Roman"/>
                      <w:sz w:val="20"/>
                      <w:szCs w:val="20"/>
                    </w:rPr>
                    <m:t>ϵ</m:t>
                  </m:r>
                </m:e>
                <m:sub>
                  <m:r>
                    <w:rPr>
                      <w:rFonts w:ascii="Cambria Math" w:hAnsi="Cambria Math" w:cs="Times New Roman"/>
                      <w:sz w:val="20"/>
                      <w:szCs w:val="20"/>
                    </w:rPr>
                    <m:t>i,t</m:t>
                  </m:r>
                </m:sub>
              </m:sSub>
            </m:oMath>
            <w:r>
              <w:rPr>
                <w:rFonts w:ascii="Times New Roman" w:eastAsiaTheme="minorEastAsia" w:hAnsi="Times New Roman" w:cs="Times New Roman"/>
                <w:sz w:val="20"/>
                <w:szCs w:val="20"/>
              </w:rPr>
              <w:t xml:space="preserve">   </w:t>
            </w:r>
          </w:p>
          <w:p w:rsidR="006F1C86"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Columns V-VIII report the results from estimation using between effects which is the OLS estimator applied to the following time-averaged equation:</w:t>
            </w:r>
          </w:p>
          <w:p w:rsidR="006F1C86"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eastAsiaTheme="minorEastAsia" w:hAnsi="Times New Roman" w:cs="Times New Roman"/>
                <w:sz w:val="20"/>
                <w:szCs w:val="20"/>
              </w:rPr>
            </w:pPr>
            <m:oMath>
              <m:r>
                <w:rPr>
                  <w:rFonts w:ascii="Cambria Math" w:hAnsi="Cambria Math" w:cs="Times New Roman"/>
                  <w:sz w:val="20"/>
                  <w:szCs w:val="20"/>
                </w:rPr>
                <m:t xml:space="preserve">        Net BV </m:t>
              </m:r>
              <m:acc>
                <m:accPr>
                  <m:chr m:val="̅"/>
                  <m:ctrlPr>
                    <w:rPr>
                      <w:rFonts w:ascii="Cambria Math" w:hAnsi="Cambria Math" w:cs="Times New Roman"/>
                      <w:i/>
                      <w:sz w:val="20"/>
                      <w:szCs w:val="20"/>
                    </w:rPr>
                  </m:ctrlPr>
                </m:accPr>
                <m:e>
                  <m:r>
                    <w:rPr>
                      <w:rFonts w:ascii="Cambria Math" w:hAnsi="Cambria Math" w:cs="Times New Roman"/>
                      <w:sz w:val="20"/>
                      <w:szCs w:val="20"/>
                    </w:rPr>
                    <m:t>Le</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tax+</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acc>
                <m:accPr>
                  <m:chr m:val="̅"/>
                  <m:ctrlPr>
                    <w:rPr>
                      <w:rFonts w:ascii="Cambria Math" w:hAnsi="Cambria Math" w:cs="Times New Roman"/>
                      <w:i/>
                      <w:sz w:val="20"/>
                      <w:szCs w:val="20"/>
                    </w:rPr>
                  </m:ctrlPr>
                </m:accPr>
                <m:e>
                  <m:r>
                    <w:rPr>
                      <w:rFonts w:ascii="Cambria Math" w:hAnsi="Cambria Math" w:cs="Times New Roman"/>
                      <w:sz w:val="20"/>
                      <w:szCs w:val="20"/>
                    </w:rPr>
                    <m:t>sale</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acc>
                <m:accPr>
                  <m:chr m:val="̅"/>
                  <m:ctrlPr>
                    <w:rPr>
                      <w:rFonts w:ascii="Cambria Math" w:hAnsi="Cambria Math" w:cs="Times New Roman"/>
                      <w:i/>
                      <w:sz w:val="20"/>
                      <w:szCs w:val="20"/>
                    </w:rPr>
                  </m:ctrlPr>
                </m:accPr>
                <m:e>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ed</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acc>
                <m:accPr>
                  <m:chr m:val="̅"/>
                  <m:ctrlPr>
                    <w:rPr>
                      <w:rFonts w:ascii="Cambria Math" w:hAnsi="Cambria Math" w:cs="Times New Roman"/>
                      <w:i/>
                      <w:sz w:val="20"/>
                      <w:szCs w:val="20"/>
                    </w:rPr>
                  </m:ctrlPr>
                </m:accPr>
                <m:e>
                  <m:r>
                    <w:rPr>
                      <w:rFonts w:ascii="Cambria Math" w:hAnsi="Cambria Math" w:cs="Times New Roman"/>
                      <w:sz w:val="20"/>
                      <w:szCs w:val="20"/>
                    </w:rPr>
                    <m:t>ppe</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acc>
                <m:accPr>
                  <m:chr m:val="̅"/>
                  <m:ctrlPr>
                    <w:rPr>
                      <w:rFonts w:ascii="Cambria Math" w:hAnsi="Cambria Math" w:cs="Times New Roman"/>
                      <w:i/>
                      <w:sz w:val="20"/>
                      <w:szCs w:val="20"/>
                    </w:rPr>
                  </m:ctrlPr>
                </m:accPr>
                <m:e>
                  <m:r>
                    <w:rPr>
                      <w:rFonts w:ascii="Cambria Math" w:hAnsi="Cambria Math" w:cs="Times New Roman"/>
                      <w:sz w:val="20"/>
                      <w:szCs w:val="20"/>
                    </w:rPr>
                    <m:t>ro</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6</m:t>
                  </m:r>
                </m:sub>
              </m:sSub>
              <m:acc>
                <m:accPr>
                  <m:chr m:val="̅"/>
                  <m:ctrlPr>
                    <w:rPr>
                      <w:rFonts w:ascii="Cambria Math" w:hAnsi="Cambria Math" w:cs="Times New Roman"/>
                      <w:i/>
                      <w:sz w:val="20"/>
                      <w:szCs w:val="20"/>
                    </w:rPr>
                  </m:ctrlPr>
                </m:accPr>
                <m:e>
                  <m:r>
                    <w:rPr>
                      <w:rFonts w:ascii="Cambria Math" w:hAnsi="Cambria Math" w:cs="Times New Roman"/>
                      <w:sz w:val="20"/>
                      <w:szCs w:val="20"/>
                    </w:rPr>
                    <m:t>div</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7</m:t>
                  </m:r>
                </m:sub>
              </m:sSub>
              <m:acc>
                <m:accPr>
                  <m:chr m:val="̅"/>
                  <m:ctrlPr>
                    <w:rPr>
                      <w:rFonts w:ascii="Cambria Math" w:hAnsi="Cambria Math" w:cs="Times New Roman"/>
                      <w:i/>
                      <w:sz w:val="20"/>
                      <w:szCs w:val="20"/>
                    </w:rPr>
                  </m:ctrlPr>
                </m:accPr>
                <m:e>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8</m:t>
                  </m:r>
                </m:sub>
              </m:sSub>
              <m:acc>
                <m:accPr>
                  <m:chr m:val="̅"/>
                  <m:ctrlPr>
                    <w:rPr>
                      <w:rFonts w:ascii="Cambria Math" w:hAnsi="Cambria Math" w:cs="Times New Roman"/>
                      <w:i/>
                      <w:sz w:val="20"/>
                      <w:szCs w:val="20"/>
                    </w:rPr>
                  </m:ctrlPr>
                </m:accPr>
                <m:e>
                  <m:r>
                    <w:rPr>
                      <w:rFonts w:ascii="Cambria Math" w:hAnsi="Cambria Math" w:cs="Times New Roman"/>
                      <w:sz w:val="20"/>
                      <w:szCs w:val="20"/>
                    </w:rPr>
                    <m:t>ad</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9</m:t>
                  </m:r>
                </m:sub>
              </m:sSub>
              <m:acc>
                <m:accPr>
                  <m:chr m:val="̅"/>
                  <m:ctrlPr>
                    <w:rPr>
                      <w:rFonts w:ascii="Cambria Math" w:hAnsi="Cambria Math" w:cs="Times New Roman"/>
                      <w:i/>
                      <w:sz w:val="20"/>
                      <w:szCs w:val="20"/>
                    </w:rPr>
                  </m:ctrlPr>
                </m:accPr>
                <m:e>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ϵ</m:t>
                  </m:r>
                </m:e>
                <m:sub>
                  <m:r>
                    <w:rPr>
                      <w:rFonts w:ascii="Cambria Math" w:hAnsi="Cambria Math" w:cs="Times New Roman"/>
                      <w:sz w:val="20"/>
                      <w:szCs w:val="20"/>
                    </w:rPr>
                    <m:t>i,t</m:t>
                  </m:r>
                </m:sub>
              </m:sSub>
            </m:oMath>
            <w:r>
              <w:rPr>
                <w:rFonts w:ascii="Times New Roman" w:eastAsiaTheme="minorEastAsia" w:hAnsi="Times New Roman" w:cs="Times New Roman"/>
                <w:sz w:val="20"/>
                <w:szCs w:val="20"/>
              </w:rPr>
              <w:t xml:space="preserve">   </w:t>
            </w:r>
          </w:p>
          <w:p w:rsidR="006F1C86" w:rsidRDefault="006F1C86" w:rsidP="00536F3E">
            <w:pPr>
              <w:rPr>
                <w:rFonts w:ascii="Times New Roman" w:eastAsiaTheme="minorEastAsia" w:hAnsi="Times New Roman" w:cs="Times New Roman"/>
                <w:sz w:val="20"/>
                <w:szCs w:val="20"/>
              </w:rPr>
            </w:pPr>
          </w:p>
          <w:p w:rsidR="006F1C86" w:rsidRPr="001A43BB" w:rsidRDefault="006F1C86"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Where </w:t>
            </w:r>
            <m:oMath>
              <m:acc>
                <m:accPr>
                  <m:chr m:val="̅"/>
                  <m:ctrlPr>
                    <w:rPr>
                      <w:rFonts w:ascii="Cambria Math" w:eastAsiaTheme="minorEastAsia" w:hAnsi="Cambria Math" w:cs="Times New Roman"/>
                      <w:i/>
                      <w:sz w:val="20"/>
                      <w:szCs w:val="20"/>
                    </w:rPr>
                  </m:ctrlPr>
                </m:acc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Lev</m:t>
                      </m:r>
                    </m:e>
                    <m:sub>
                      <m:r>
                        <w:rPr>
                          <w:rFonts w:ascii="Cambria Math" w:eastAsiaTheme="minorEastAsia" w:hAnsi="Cambria Math" w:cs="Times New Roman"/>
                          <w:sz w:val="20"/>
                          <w:szCs w:val="20"/>
                        </w:rPr>
                        <m:t>t</m:t>
                      </m:r>
                    </m:sub>
                  </m:sSub>
                </m:e>
              </m:acc>
            </m:oMath>
            <w:r>
              <w:rPr>
                <w:rFonts w:ascii="Times New Roman" w:eastAsiaTheme="minorEastAsia" w:hAnsi="Times New Roman" w:cs="Times New Roman"/>
                <w:sz w:val="20"/>
                <w:szCs w:val="20"/>
              </w:rPr>
              <w:t xml:space="preserve"> represents the average across time, i.e. </w:t>
            </w:r>
            <m:oMath>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t=1</m:t>
                  </m:r>
                </m:sub>
                <m:sup>
                  <m:r>
                    <w:rPr>
                      <w:rFonts w:ascii="Cambria Math" w:eastAsiaTheme="minorEastAsia" w:hAnsi="Cambria Math" w:cs="Times New Roman"/>
                      <w:sz w:val="20"/>
                      <w:szCs w:val="20"/>
                    </w:rPr>
                    <m:t>T</m:t>
                  </m:r>
                </m:sup>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Lev</m:t>
                          </m:r>
                        </m:e>
                        <m:sub>
                          <m:r>
                            <w:rPr>
                              <w:rFonts w:ascii="Cambria Math" w:eastAsiaTheme="minorEastAsia" w:hAnsi="Cambria Math" w:cs="Times New Roman"/>
                              <w:sz w:val="20"/>
                              <w:szCs w:val="20"/>
                            </w:rPr>
                            <m:t>i,t</m:t>
                          </m:r>
                        </m:sub>
                      </m:sSub>
                    </m:num>
                    <m:den>
                      <m:r>
                        <w:rPr>
                          <w:rFonts w:ascii="Cambria Math" w:eastAsiaTheme="minorEastAsia" w:hAnsi="Cambria Math" w:cs="Times New Roman"/>
                          <w:sz w:val="20"/>
                          <w:szCs w:val="20"/>
                        </w:rPr>
                        <m:t>T</m:t>
                      </m:r>
                    </m:den>
                  </m:f>
                </m:e>
              </m:nary>
            </m:oMath>
            <w:r>
              <w:rPr>
                <w:rFonts w:ascii="Times New Roman" w:eastAsiaTheme="minorEastAsia" w:hAnsi="Times New Roman" w:cs="Times New Roman"/>
                <w:sz w:val="20"/>
                <w:szCs w:val="20"/>
              </w:rPr>
              <w:t>.</w:t>
            </w:r>
          </w:p>
          <w:p w:rsidR="006F1C86" w:rsidRDefault="006F1C86"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dependent variable is net book value of leverage (</w:t>
            </w:r>
            <w:r>
              <w:rPr>
                <w:rFonts w:ascii="Times New Roman" w:eastAsiaTheme="minorEastAsia" w:hAnsi="Times New Roman" w:cs="Times New Roman"/>
                <w:i/>
                <w:sz w:val="20"/>
                <w:szCs w:val="20"/>
              </w:rPr>
              <w:t>Net BV Lev</w:t>
            </w:r>
            <w:r>
              <w:rPr>
                <w:rFonts w:ascii="Times New Roman" w:eastAsiaTheme="minorEastAsia" w:hAnsi="Times New Roman" w:cs="Times New Roman"/>
                <w:sz w:val="20"/>
                <w:szCs w:val="20"/>
              </w:rPr>
              <w:t xml:space="preserve">) for firm </w:t>
            </w:r>
            <w:r>
              <w:rPr>
                <w:rFonts w:ascii="Times New Roman" w:eastAsiaTheme="minorEastAsia" w:hAnsi="Times New Roman" w:cs="Times New Roman"/>
                <w:i/>
                <w:sz w:val="20"/>
                <w:szCs w:val="20"/>
              </w:rPr>
              <w:t xml:space="preserve">i </w:t>
            </w:r>
            <w:r>
              <w:rPr>
                <w:rFonts w:ascii="Times New Roman" w:eastAsiaTheme="minorEastAsia" w:hAnsi="Times New Roman" w:cs="Times New Roman"/>
                <w:sz w:val="20"/>
                <w:szCs w:val="20"/>
              </w:rPr>
              <w:t xml:space="preserve">in year </w:t>
            </w:r>
            <w:r>
              <w:rPr>
                <w:rFonts w:ascii="Times New Roman" w:eastAsiaTheme="minorEastAsia" w:hAnsi="Times New Roman" w:cs="Times New Roman"/>
                <w:i/>
                <w:sz w:val="20"/>
                <w:szCs w:val="20"/>
              </w:rPr>
              <w:t>t</w:t>
            </w:r>
            <w:r>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tax</w:t>
            </w:r>
            <w:r>
              <w:rPr>
                <w:rFonts w:ascii="Times New Roman" w:eastAsiaTheme="minorEastAsia" w:hAnsi="Times New Roman" w:cs="Times New Roman"/>
                <w:sz w:val="20"/>
                <w:szCs w:val="20"/>
              </w:rPr>
              <w:t xml:space="preserve"> is our measure of the tax rate facing each multinational firm. The base case is in Column I and V, Graham’s </w:t>
            </w:r>
            <w:r>
              <w:rPr>
                <w:rFonts w:ascii="Times New Roman" w:eastAsiaTheme="minorEastAsia" w:hAnsi="Times New Roman" w:cs="Times New Roman"/>
                <w:i/>
                <w:sz w:val="20"/>
                <w:szCs w:val="20"/>
              </w:rPr>
              <w:t>mtr</w:t>
            </w:r>
            <w:r>
              <w:rPr>
                <w:rFonts w:ascii="Times New Roman" w:eastAsiaTheme="minorEastAsia" w:hAnsi="Times New Roman" w:cs="Times New Roman"/>
                <w:sz w:val="20"/>
                <w:szCs w:val="20"/>
              </w:rPr>
              <w:t xml:space="preserve"> in Column II and VI, Blouin, Core, and Guay’s </w:t>
            </w:r>
            <w:r>
              <w:rPr>
                <w:rFonts w:ascii="Times New Roman" w:eastAsiaTheme="minorEastAsia" w:hAnsi="Times New Roman" w:cs="Times New Roman"/>
                <w:i/>
                <w:sz w:val="20"/>
                <w:szCs w:val="20"/>
              </w:rPr>
              <w:t>bcg_mtr</w:t>
            </w:r>
            <w:r>
              <w:rPr>
                <w:rFonts w:ascii="Times New Roman" w:eastAsiaTheme="minorEastAsia" w:hAnsi="Times New Roman" w:cs="Times New Roman"/>
                <w:sz w:val="20"/>
                <w:szCs w:val="20"/>
              </w:rPr>
              <w:t xml:space="preserve"> in Column III and VII, and our new measure </w:t>
            </w:r>
            <w:r>
              <w:rPr>
                <w:rFonts w:ascii="Times New Roman" w:eastAsiaTheme="minorEastAsia" w:hAnsi="Times New Roman" w:cs="Times New Roman"/>
                <w:i/>
                <w:sz w:val="20"/>
                <w:szCs w:val="20"/>
              </w:rPr>
              <w:t>firm_efftaxrate</w:t>
            </w:r>
            <w:r>
              <w:rPr>
                <w:rFonts w:ascii="Times New Roman" w:eastAsiaTheme="minorEastAsia" w:hAnsi="Times New Roman" w:cs="Times New Roman"/>
                <w:sz w:val="20"/>
                <w:szCs w:val="20"/>
              </w:rPr>
              <w:t xml:space="preserve"> in Column IV and VIII. The independent variables include lagged sales (</w:t>
            </w:r>
            <w:r>
              <w:rPr>
                <w:rFonts w:ascii="Times New Roman" w:eastAsiaTheme="minorEastAsia" w:hAnsi="Times New Roman" w:cs="Times New Roman"/>
                <w:i/>
                <w:sz w:val="20"/>
                <w:szCs w:val="20"/>
              </w:rPr>
              <w:t>sales</w:t>
            </w:r>
            <w:r w:rsidRPr="006A5C4C">
              <w:rPr>
                <w:rFonts w:ascii="Times New Roman" w:eastAsiaTheme="minorEastAsia" w:hAnsi="Times New Roman" w:cs="Times New Roman"/>
                <w:i/>
                <w:sz w:val="20"/>
                <w:szCs w:val="20"/>
                <w:vertAlign w:val="subscript"/>
              </w:rPr>
              <w:t>i,t-1</w:t>
            </w:r>
            <w:r>
              <w:rPr>
                <w:rFonts w:ascii="Times New Roman" w:eastAsiaTheme="minorEastAsia" w:hAnsi="Times New Roman" w:cs="Times New Roman"/>
                <w:sz w:val="20"/>
                <w:szCs w:val="20"/>
              </w:rPr>
              <w:t>), a dummy variable to indicate if the firm has a credit rating (</w:t>
            </w:r>
            <w:r>
              <w:rPr>
                <w:rFonts w:ascii="Times New Roman" w:eastAsiaTheme="minorEastAsia" w:hAnsi="Times New Roman" w:cs="Times New Roman"/>
                <w:i/>
                <w:sz w:val="20"/>
                <w:szCs w:val="20"/>
              </w:rPr>
              <w:t>rated</w:t>
            </w:r>
            <w:r w:rsidRPr="006A5C4C">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property, plant, and equipment over lagged book assets (</w:t>
            </w:r>
            <w:r>
              <w:rPr>
                <w:rFonts w:ascii="Times New Roman" w:eastAsiaTheme="minorEastAsia" w:hAnsi="Times New Roman" w:cs="Times New Roman"/>
                <w:i/>
                <w:sz w:val="20"/>
                <w:szCs w:val="20"/>
              </w:rPr>
              <w:t>ppeb</w:t>
            </w:r>
            <w:r w:rsidRPr="006A5C4C">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return on assets (</w:t>
            </w:r>
            <w:r>
              <w:rPr>
                <w:rFonts w:ascii="Times New Roman" w:eastAsiaTheme="minorEastAsia" w:hAnsi="Times New Roman" w:cs="Times New Roman"/>
                <w:i/>
                <w:sz w:val="20"/>
                <w:szCs w:val="20"/>
              </w:rPr>
              <w:t>roa</w:t>
            </w:r>
            <w:r w:rsidRPr="007E1C0A">
              <w:rPr>
                <w:rFonts w:ascii="Times New Roman" w:eastAsiaTheme="minorEastAsia" w:hAnsi="Times New Roman" w:cs="Times New Roman"/>
                <w:i/>
                <w:sz w:val="20"/>
                <w:szCs w:val="20"/>
                <w:vertAlign w:val="subscript"/>
              </w:rPr>
              <w:t>i</w:t>
            </w:r>
            <w:r>
              <w:rPr>
                <w:rFonts w:ascii="Times New Roman" w:eastAsiaTheme="minorEastAsia" w:hAnsi="Times New Roman" w:cs="Times New Roman"/>
                <w:i/>
                <w:sz w:val="20"/>
                <w:szCs w:val="20"/>
                <w:vertAlign w:val="subscript"/>
              </w:rPr>
              <w:t>,</w:t>
            </w:r>
            <w:r w:rsidRPr="007E1C0A">
              <w:rPr>
                <w:rFonts w:ascii="Times New Roman" w:eastAsiaTheme="minorEastAsia" w:hAnsi="Times New Roman" w:cs="Times New Roman"/>
                <w:i/>
                <w:sz w:val="20"/>
                <w:szCs w:val="20"/>
                <w:vertAlign w:val="subscript"/>
              </w:rPr>
              <w:t>t</w:t>
            </w:r>
            <w:r>
              <w:rPr>
                <w:rFonts w:ascii="Times New Roman" w:eastAsiaTheme="minorEastAsia" w:hAnsi="Times New Roman" w:cs="Times New Roman"/>
                <w:sz w:val="20"/>
                <w:szCs w:val="20"/>
              </w:rPr>
              <w:t>), a dummy variable set to 1 if the firm pays a dividend (</w:t>
            </w:r>
            <w:r>
              <w:rPr>
                <w:rFonts w:ascii="Times New Roman" w:eastAsiaTheme="minorEastAsia" w:hAnsi="Times New Roman" w:cs="Times New Roman"/>
                <w:i/>
                <w:sz w:val="20"/>
                <w:szCs w:val="20"/>
              </w:rPr>
              <w:t>divs</w:t>
            </w:r>
            <w:r w:rsidRPr="007E1C0A">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research and development expense (</w:t>
            </w:r>
            <w:r>
              <w:rPr>
                <w:rFonts w:ascii="Times New Roman" w:eastAsiaTheme="minorEastAsia" w:hAnsi="Times New Roman" w:cs="Times New Roman"/>
                <w:i/>
                <w:sz w:val="20"/>
                <w:szCs w:val="20"/>
              </w:rPr>
              <w:t>rd</w:t>
            </w:r>
            <w:r w:rsidRPr="007E1C0A">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advertising expense (adv</w:t>
            </w:r>
            <w:r w:rsidRPr="007E1C0A">
              <w:rPr>
                <w:rFonts w:ascii="Times New Roman" w:eastAsiaTheme="minorEastAsia" w:hAnsi="Times New Roman" w:cs="Times New Roman"/>
                <w:sz w:val="20"/>
                <w:szCs w:val="20"/>
                <w:vertAlign w:val="subscript"/>
              </w:rPr>
              <w:t>i,t</w:t>
            </w:r>
            <w:r>
              <w:rPr>
                <w:rFonts w:ascii="Times New Roman" w:eastAsiaTheme="minorEastAsia" w:hAnsi="Times New Roman" w:cs="Times New Roman"/>
                <w:sz w:val="20"/>
                <w:szCs w:val="20"/>
              </w:rPr>
              <w:t>), market-to-book ratio (mb</w:t>
            </w:r>
            <w:r w:rsidRPr="007E1C0A">
              <w:rPr>
                <w:rFonts w:ascii="Times New Roman" w:eastAsiaTheme="minorEastAsia" w:hAnsi="Times New Roman" w:cs="Times New Roman"/>
                <w:sz w:val="20"/>
                <w:szCs w:val="20"/>
                <w:vertAlign w:val="subscript"/>
              </w:rPr>
              <w:t>i,t</w:t>
            </w:r>
            <w:r>
              <w:rPr>
                <w:rFonts w:ascii="Times New Roman" w:eastAsiaTheme="minorEastAsia" w:hAnsi="Times New Roman" w:cs="Times New Roman"/>
                <w:sz w:val="20"/>
                <w:szCs w:val="20"/>
              </w:rPr>
              <w:t xml:space="preserve">), and finally year dummy variables (e.g. </w:t>
            </w:r>
            <w:r>
              <w:rPr>
                <w:rFonts w:ascii="Times New Roman" w:eastAsiaTheme="minorEastAsia" w:hAnsi="Times New Roman" w:cs="Times New Roman"/>
                <w:i/>
                <w:sz w:val="20"/>
                <w:szCs w:val="20"/>
              </w:rPr>
              <w:t>dyear2007</w:t>
            </w:r>
            <w:r>
              <w:rPr>
                <w:rFonts w:ascii="Times New Roman" w:eastAsiaTheme="minorEastAsia" w:hAnsi="Times New Roman" w:cs="Times New Roman"/>
                <w:sz w:val="20"/>
                <w:szCs w:val="20"/>
              </w:rPr>
              <w:t xml:space="preserve">). Standard errors are clustered at the firm level.  Standard errors are reported in parenthesis.             </w:t>
            </w:r>
          </w:p>
          <w:p w:rsidR="006F1C86" w:rsidRDefault="006F1C86"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 * represent significance at the one percent, five percent, and ten percent levels, respectively.</w:t>
            </w:r>
          </w:p>
          <w:p w:rsidR="006F1C86"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hAnsi="Times New Roman" w:cs="Times New Roman"/>
                <w:b/>
                <w:sz w:val="20"/>
                <w:szCs w:val="20"/>
              </w:rPr>
            </w:pPr>
          </w:p>
          <w:p w:rsidR="006F1C86" w:rsidRDefault="006F1C86" w:rsidP="00536F3E">
            <w:pPr>
              <w:rPr>
                <w:rFonts w:ascii="Times New Roman" w:hAnsi="Times New Roman" w:cs="Times New Roman"/>
                <w:b/>
                <w:sz w:val="20"/>
                <w:szCs w:val="20"/>
              </w:rPr>
            </w:pPr>
          </w:p>
          <w:p w:rsidR="006F1C86" w:rsidRPr="00606CEE" w:rsidRDefault="006F1C86" w:rsidP="00536F3E">
            <w:pPr>
              <w:rPr>
                <w:rFonts w:ascii="Times New Roman" w:hAnsi="Times New Roman" w:cs="Times New Roman"/>
                <w:b/>
                <w:sz w:val="20"/>
                <w:szCs w:val="20"/>
              </w:rPr>
            </w:pPr>
          </w:p>
        </w:tc>
      </w:tr>
      <w:tr w:rsidR="006F1C86" w:rsidTr="00536F3E">
        <w:tc>
          <w:tcPr>
            <w:tcW w:w="1789" w:type="dxa"/>
            <w:tcBorders>
              <w:top w:val="single" w:sz="4" w:space="0" w:color="auto"/>
              <w:left w:val="nil"/>
              <w:bottom w:val="single" w:sz="4" w:space="0" w:color="auto"/>
              <w:right w:val="nil"/>
            </w:tcBorders>
          </w:tcPr>
          <w:p w:rsidR="006F1C86" w:rsidRDefault="006F1C86" w:rsidP="00536F3E"/>
        </w:tc>
        <w:tc>
          <w:tcPr>
            <w:tcW w:w="1587" w:type="dxa"/>
            <w:tcBorders>
              <w:top w:val="single" w:sz="4" w:space="0" w:color="auto"/>
              <w:left w:val="nil"/>
              <w:bottom w:val="single" w:sz="4" w:space="0" w:color="auto"/>
              <w:right w:val="nil"/>
            </w:tcBorders>
          </w:tcPr>
          <w:p w:rsidR="006F1C86" w:rsidRDefault="006F1C86" w:rsidP="00536F3E">
            <w:pPr>
              <w:jc w:val="center"/>
            </w:pPr>
            <w:r>
              <w:t>I</w:t>
            </w:r>
          </w:p>
        </w:tc>
        <w:tc>
          <w:tcPr>
            <w:tcW w:w="1587" w:type="dxa"/>
            <w:tcBorders>
              <w:top w:val="single" w:sz="4" w:space="0" w:color="auto"/>
              <w:left w:val="nil"/>
              <w:bottom w:val="single" w:sz="4" w:space="0" w:color="auto"/>
              <w:right w:val="nil"/>
            </w:tcBorders>
          </w:tcPr>
          <w:p w:rsidR="006F1C86" w:rsidRDefault="006F1C86" w:rsidP="00536F3E">
            <w:pPr>
              <w:jc w:val="center"/>
            </w:pPr>
            <w:r>
              <w:t>II</w:t>
            </w:r>
          </w:p>
        </w:tc>
        <w:tc>
          <w:tcPr>
            <w:tcW w:w="1587" w:type="dxa"/>
            <w:tcBorders>
              <w:top w:val="single" w:sz="4" w:space="0" w:color="auto"/>
              <w:left w:val="nil"/>
              <w:bottom w:val="single" w:sz="4" w:space="0" w:color="auto"/>
              <w:right w:val="nil"/>
            </w:tcBorders>
          </w:tcPr>
          <w:p w:rsidR="006F1C86" w:rsidRDefault="006F1C86" w:rsidP="00536F3E">
            <w:pPr>
              <w:jc w:val="center"/>
            </w:pPr>
            <w:r>
              <w:t>III</w:t>
            </w:r>
          </w:p>
        </w:tc>
        <w:tc>
          <w:tcPr>
            <w:tcW w:w="1586" w:type="dxa"/>
            <w:tcBorders>
              <w:top w:val="single" w:sz="4" w:space="0" w:color="auto"/>
              <w:left w:val="nil"/>
              <w:bottom w:val="single" w:sz="4" w:space="0" w:color="auto"/>
              <w:right w:val="nil"/>
            </w:tcBorders>
          </w:tcPr>
          <w:p w:rsidR="006F1C86" w:rsidRDefault="006F1C86" w:rsidP="00536F3E">
            <w:pPr>
              <w:jc w:val="center"/>
            </w:pPr>
            <w:r>
              <w:t>IV</w:t>
            </w:r>
          </w:p>
        </w:tc>
        <w:tc>
          <w:tcPr>
            <w:tcW w:w="1260" w:type="dxa"/>
            <w:tcBorders>
              <w:top w:val="single" w:sz="4" w:space="0" w:color="auto"/>
              <w:left w:val="nil"/>
              <w:bottom w:val="single" w:sz="4" w:space="0" w:color="auto"/>
              <w:right w:val="nil"/>
            </w:tcBorders>
          </w:tcPr>
          <w:p w:rsidR="006F1C86" w:rsidRDefault="006F1C86" w:rsidP="00536F3E">
            <w:pPr>
              <w:jc w:val="center"/>
            </w:pPr>
            <w:r>
              <w:t>V</w:t>
            </w:r>
          </w:p>
        </w:tc>
        <w:tc>
          <w:tcPr>
            <w:tcW w:w="1260" w:type="dxa"/>
            <w:tcBorders>
              <w:top w:val="single" w:sz="4" w:space="0" w:color="auto"/>
              <w:left w:val="nil"/>
              <w:bottom w:val="single" w:sz="4" w:space="0" w:color="auto"/>
              <w:right w:val="nil"/>
            </w:tcBorders>
          </w:tcPr>
          <w:p w:rsidR="006F1C86" w:rsidRDefault="006F1C86" w:rsidP="00536F3E">
            <w:pPr>
              <w:jc w:val="center"/>
            </w:pPr>
            <w:r>
              <w:t>VI</w:t>
            </w:r>
          </w:p>
        </w:tc>
        <w:tc>
          <w:tcPr>
            <w:tcW w:w="1260" w:type="dxa"/>
            <w:tcBorders>
              <w:top w:val="single" w:sz="4" w:space="0" w:color="auto"/>
              <w:left w:val="nil"/>
              <w:bottom w:val="single" w:sz="4" w:space="0" w:color="auto"/>
              <w:right w:val="nil"/>
            </w:tcBorders>
          </w:tcPr>
          <w:p w:rsidR="006F1C86" w:rsidRDefault="006F1C86" w:rsidP="00536F3E">
            <w:pPr>
              <w:jc w:val="center"/>
            </w:pPr>
            <w:r>
              <w:t>VII</w:t>
            </w:r>
          </w:p>
        </w:tc>
        <w:tc>
          <w:tcPr>
            <w:tcW w:w="1260" w:type="dxa"/>
            <w:tcBorders>
              <w:top w:val="single" w:sz="4" w:space="0" w:color="auto"/>
              <w:left w:val="nil"/>
              <w:bottom w:val="single" w:sz="4" w:space="0" w:color="auto"/>
              <w:right w:val="nil"/>
            </w:tcBorders>
          </w:tcPr>
          <w:p w:rsidR="006F1C86" w:rsidRDefault="006F1C86" w:rsidP="00536F3E">
            <w:pPr>
              <w:jc w:val="center"/>
            </w:pPr>
            <w:r>
              <w:t>VIII</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sidRPr="0075597C">
              <w:rPr>
                <w:rFonts w:ascii="Times New Roman" w:hAnsi="Times New Roman" w:cs="Times New Roman"/>
                <w:i/>
                <w:sz w:val="20"/>
                <w:szCs w:val="20"/>
              </w:rPr>
              <w:t>Mtr</w:t>
            </w:r>
            <w:r w:rsidRPr="0075597C">
              <w:rPr>
                <w:rFonts w:ascii="Times New Roman" w:hAnsi="Times New Roman" w:cs="Times New Roman"/>
                <w:i/>
                <w:sz w:val="20"/>
                <w:szCs w:val="20"/>
                <w:vertAlign w:val="subscript"/>
              </w:rPr>
              <w:t>i,t</w:t>
            </w:r>
          </w:p>
          <w:p w:rsidR="006F1C86" w:rsidRPr="0075597C"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Default="00F534DE" w:rsidP="00536F3E">
            <w:pPr>
              <w:jc w:val="center"/>
              <w:rPr>
                <w:rFonts w:ascii="Times New Roman" w:hAnsi="Times New Roman" w:cs="Times New Roman"/>
                <w:sz w:val="20"/>
                <w:szCs w:val="20"/>
              </w:rPr>
            </w:pPr>
            <w:r>
              <w:rPr>
                <w:rFonts w:ascii="Times New Roman" w:hAnsi="Times New Roman" w:cs="Times New Roman"/>
                <w:sz w:val="20"/>
                <w:szCs w:val="20"/>
              </w:rPr>
              <w:t>-0.1355</w:t>
            </w:r>
          </w:p>
          <w:p w:rsidR="006F1C86" w:rsidRPr="00AB0CE3" w:rsidRDefault="00F534D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(0.0989</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6"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-0.3965</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(0.1450</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Bcg_mtr</w:t>
            </w:r>
            <w:r w:rsidRPr="00AB0CE3">
              <w:rPr>
                <w:rFonts w:ascii="Times New Roman" w:hAnsi="Times New Roman" w:cs="Times New Roman"/>
                <w:i/>
                <w:sz w:val="20"/>
                <w:szCs w:val="20"/>
                <w:vertAlign w:val="subscript"/>
              </w:rPr>
              <w:t>i,t</w:t>
            </w:r>
          </w:p>
          <w:p w:rsidR="006F1C86" w:rsidRPr="0075597C"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0.2705</w:t>
            </w:r>
          </w:p>
          <w:p w:rsidR="006F1C86" w:rsidRPr="00954DE4"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(0.1812</w:t>
            </w:r>
            <w:r w:rsidR="006F1C86" w:rsidRPr="00954DE4">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0.1866</w:t>
            </w:r>
          </w:p>
          <w:p w:rsidR="006F1C86" w:rsidRPr="00954DE4"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(0.1859</w:t>
            </w:r>
            <w:r w:rsidR="006F1C86" w:rsidRPr="00954DE4">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Firm_efftaxrate</w:t>
            </w:r>
            <w:r w:rsidRPr="00AB0CE3">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6"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0.7823***</w:t>
            </w:r>
          </w:p>
          <w:p w:rsidR="006F1C86" w:rsidRPr="00D02300"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(0.1598</w:t>
            </w:r>
            <w:r w:rsidR="006F1C86" w:rsidRPr="00D02300">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1.1998</w:t>
            </w:r>
            <w:r w:rsidR="006F1C86">
              <w:rPr>
                <w:rFonts w:ascii="Times New Roman" w:hAnsi="Times New Roman" w:cs="Times New Roman"/>
                <w:sz w:val="20"/>
                <w:szCs w:val="20"/>
              </w:rPr>
              <w:t>***</w:t>
            </w:r>
          </w:p>
          <w:p w:rsidR="006F1C86" w:rsidRPr="00D02300"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(0.2185</w:t>
            </w:r>
            <w:r w:rsidR="006F1C86" w:rsidRPr="00D02300">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Sales</w:t>
            </w:r>
            <w:r w:rsidRPr="009A001F">
              <w:rPr>
                <w:rFonts w:ascii="Times New Roman" w:hAnsi="Times New Roman" w:cs="Times New Roman"/>
                <w:i/>
                <w:sz w:val="20"/>
                <w:szCs w:val="20"/>
                <w:vertAlign w:val="subscript"/>
              </w:rPr>
              <w:t>i,t-1</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984B9A" w:rsidP="00536F3E">
            <w:pPr>
              <w:jc w:val="center"/>
              <w:rPr>
                <w:rFonts w:ascii="Times New Roman" w:hAnsi="Times New Roman" w:cs="Times New Roman"/>
                <w:sz w:val="20"/>
                <w:szCs w:val="20"/>
              </w:rPr>
            </w:pPr>
            <w:r>
              <w:rPr>
                <w:rFonts w:ascii="Times New Roman" w:hAnsi="Times New Roman" w:cs="Times New Roman"/>
                <w:sz w:val="20"/>
                <w:szCs w:val="20"/>
              </w:rPr>
              <w:t>0.0126</w:t>
            </w:r>
          </w:p>
          <w:p w:rsidR="006F1C86" w:rsidRPr="00AB0CE3" w:rsidRDefault="00984B9A"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(0.0080</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F534DE" w:rsidP="00536F3E">
            <w:pPr>
              <w:jc w:val="center"/>
              <w:rPr>
                <w:rFonts w:ascii="Times New Roman" w:hAnsi="Times New Roman" w:cs="Times New Roman"/>
                <w:sz w:val="20"/>
                <w:szCs w:val="20"/>
              </w:rPr>
            </w:pPr>
            <w:r>
              <w:rPr>
                <w:rFonts w:ascii="Times New Roman" w:hAnsi="Times New Roman" w:cs="Times New Roman"/>
                <w:sz w:val="20"/>
                <w:szCs w:val="20"/>
              </w:rPr>
              <w:t>0.0142</w:t>
            </w:r>
            <w:r w:rsidR="006F1C86">
              <w:rPr>
                <w:rFonts w:ascii="Times New Roman" w:hAnsi="Times New Roman" w:cs="Times New Roman"/>
                <w:sz w:val="20"/>
                <w:szCs w:val="20"/>
              </w:rPr>
              <w:t>*</w:t>
            </w:r>
          </w:p>
          <w:p w:rsidR="006F1C86" w:rsidRPr="00AB0CE3" w:rsidRDefault="00F534D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(0.0079</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0.0092</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(0.0080</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0.0183**</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(0.0078</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0.0031</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(0.0088</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0.0086</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(0.0090</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0.0001</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(0.0093</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0.0106</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(0.0088</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Rated</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984B9A" w:rsidP="00536F3E">
            <w:pPr>
              <w:jc w:val="center"/>
              <w:rPr>
                <w:rFonts w:ascii="Times New Roman" w:hAnsi="Times New Roman" w:cs="Times New Roman"/>
                <w:sz w:val="20"/>
                <w:szCs w:val="20"/>
              </w:rPr>
            </w:pPr>
            <w:r>
              <w:rPr>
                <w:rFonts w:ascii="Times New Roman" w:hAnsi="Times New Roman" w:cs="Times New Roman"/>
                <w:sz w:val="20"/>
                <w:szCs w:val="20"/>
              </w:rPr>
              <w:t>0.2436</w:t>
            </w:r>
            <w:r w:rsidR="006F1C86" w:rsidRPr="00954DE4">
              <w:rPr>
                <w:rFonts w:ascii="Times New Roman" w:hAnsi="Times New Roman" w:cs="Times New Roman"/>
                <w:sz w:val="20"/>
                <w:szCs w:val="20"/>
              </w:rPr>
              <w:t>***</w:t>
            </w:r>
          </w:p>
          <w:p w:rsidR="006F1C86" w:rsidRPr="00AB0CE3" w:rsidRDefault="00984B9A"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(0.0270</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F534DE" w:rsidP="00536F3E">
            <w:pPr>
              <w:jc w:val="center"/>
              <w:rPr>
                <w:rFonts w:ascii="Times New Roman" w:hAnsi="Times New Roman" w:cs="Times New Roman"/>
                <w:sz w:val="20"/>
                <w:szCs w:val="20"/>
              </w:rPr>
            </w:pPr>
            <w:r>
              <w:rPr>
                <w:rFonts w:ascii="Times New Roman" w:hAnsi="Times New Roman" w:cs="Times New Roman"/>
                <w:sz w:val="20"/>
                <w:szCs w:val="20"/>
              </w:rPr>
              <w:t>0.2428</w:t>
            </w:r>
            <w:r w:rsidR="006F1C86">
              <w:rPr>
                <w:rFonts w:ascii="Times New Roman" w:hAnsi="Times New Roman" w:cs="Times New Roman"/>
                <w:sz w:val="20"/>
                <w:szCs w:val="20"/>
              </w:rPr>
              <w:t>***</w:t>
            </w:r>
          </w:p>
          <w:p w:rsidR="006F1C86" w:rsidRPr="00AB0CE3" w:rsidRDefault="00F534D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(0.0269</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0.2431</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(0.0270</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6F1C86" w:rsidP="00536F3E">
            <w:pPr>
              <w:jc w:val="center"/>
              <w:rPr>
                <w:rFonts w:ascii="Times New Roman" w:hAnsi="Times New Roman" w:cs="Times New Roman"/>
                <w:sz w:val="20"/>
                <w:szCs w:val="20"/>
              </w:rPr>
            </w:pPr>
            <w:r>
              <w:rPr>
                <w:rFonts w:ascii="Times New Roman" w:hAnsi="Times New Roman" w:cs="Times New Roman"/>
                <w:sz w:val="20"/>
                <w:szCs w:val="20"/>
              </w:rPr>
              <w:t>0.</w:t>
            </w:r>
            <w:r w:rsidR="00536F3E">
              <w:rPr>
                <w:rFonts w:ascii="Times New Roman" w:hAnsi="Times New Roman" w:cs="Times New Roman"/>
                <w:sz w:val="20"/>
                <w:szCs w:val="20"/>
              </w:rPr>
              <w:t>2409</w:t>
            </w:r>
            <w:r>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(0.0265</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0.2741</w:t>
            </w:r>
            <w:r w:rsidR="006F1C86" w:rsidRPr="00954DE4">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(0.0393</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0.2718</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(0.0392</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0.2747</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(0.0393</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0.2794</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(0.0388</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Ppeb</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984B9A" w:rsidP="00536F3E">
            <w:pPr>
              <w:jc w:val="center"/>
              <w:rPr>
                <w:rFonts w:ascii="Times New Roman" w:hAnsi="Times New Roman" w:cs="Times New Roman"/>
                <w:sz w:val="20"/>
                <w:szCs w:val="20"/>
              </w:rPr>
            </w:pPr>
            <w:r>
              <w:rPr>
                <w:rFonts w:ascii="Times New Roman" w:hAnsi="Times New Roman" w:cs="Times New Roman"/>
                <w:sz w:val="20"/>
                <w:szCs w:val="20"/>
              </w:rPr>
              <w:t>0.5227</w:t>
            </w:r>
            <w:r w:rsidR="006F1C86" w:rsidRPr="00954DE4">
              <w:rPr>
                <w:rFonts w:ascii="Times New Roman" w:hAnsi="Times New Roman" w:cs="Times New Roman"/>
                <w:sz w:val="20"/>
                <w:szCs w:val="20"/>
              </w:rPr>
              <w:t>***</w:t>
            </w:r>
          </w:p>
          <w:p w:rsidR="006F1C86" w:rsidRPr="00AB0CE3" w:rsidRDefault="00984B9A"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(0.0552</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F534DE" w:rsidP="00536F3E">
            <w:pPr>
              <w:jc w:val="center"/>
              <w:rPr>
                <w:rFonts w:ascii="Times New Roman" w:hAnsi="Times New Roman" w:cs="Times New Roman"/>
                <w:sz w:val="20"/>
                <w:szCs w:val="20"/>
              </w:rPr>
            </w:pPr>
            <w:r>
              <w:rPr>
                <w:rFonts w:ascii="Times New Roman" w:hAnsi="Times New Roman" w:cs="Times New Roman"/>
                <w:sz w:val="20"/>
                <w:szCs w:val="20"/>
              </w:rPr>
              <w:t>0.5161</w:t>
            </w:r>
            <w:r w:rsidR="006F1C86">
              <w:rPr>
                <w:rFonts w:ascii="Times New Roman" w:hAnsi="Times New Roman" w:cs="Times New Roman"/>
                <w:sz w:val="20"/>
                <w:szCs w:val="20"/>
              </w:rPr>
              <w:t>***</w:t>
            </w:r>
          </w:p>
          <w:p w:rsidR="006F1C86" w:rsidRPr="00AB0CE3" w:rsidRDefault="00F534D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(0.0556</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0.5278</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(0.0554</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0.5087</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(0.0543</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0.6799</w:t>
            </w:r>
            <w:r w:rsidR="006F1C86" w:rsidRPr="00954DE4">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(0.0690</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0.6578</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(0.0693</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0.6812</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(0.0690</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0.6519</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(0.0684</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Roa</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984B9A" w:rsidP="00536F3E">
            <w:pPr>
              <w:jc w:val="center"/>
              <w:rPr>
                <w:rFonts w:ascii="Times New Roman" w:hAnsi="Times New Roman" w:cs="Times New Roman"/>
                <w:sz w:val="20"/>
                <w:szCs w:val="20"/>
              </w:rPr>
            </w:pPr>
            <w:r>
              <w:rPr>
                <w:rFonts w:ascii="Times New Roman" w:hAnsi="Times New Roman" w:cs="Times New Roman"/>
                <w:sz w:val="20"/>
                <w:szCs w:val="20"/>
              </w:rPr>
              <w:t>-0.2714</w:t>
            </w:r>
            <w:r w:rsidR="006F1C86">
              <w:rPr>
                <w:rFonts w:ascii="Times New Roman" w:hAnsi="Times New Roman" w:cs="Times New Roman"/>
                <w:sz w:val="20"/>
                <w:szCs w:val="20"/>
              </w:rPr>
              <w:t>**</w:t>
            </w:r>
          </w:p>
          <w:p w:rsidR="006F1C86" w:rsidRPr="00AB0CE3" w:rsidRDefault="00984B9A"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(0.1334</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F534DE" w:rsidP="00536F3E">
            <w:pPr>
              <w:jc w:val="center"/>
              <w:rPr>
                <w:rFonts w:ascii="Times New Roman" w:hAnsi="Times New Roman" w:cs="Times New Roman"/>
                <w:sz w:val="20"/>
                <w:szCs w:val="20"/>
              </w:rPr>
            </w:pPr>
            <w:r>
              <w:rPr>
                <w:rFonts w:ascii="Times New Roman" w:hAnsi="Times New Roman" w:cs="Times New Roman"/>
                <w:sz w:val="20"/>
                <w:szCs w:val="20"/>
              </w:rPr>
              <w:t>-0.2337</w:t>
            </w:r>
            <w:r w:rsidR="006F1C86">
              <w:rPr>
                <w:rFonts w:ascii="Times New Roman" w:hAnsi="Times New Roman" w:cs="Times New Roman"/>
                <w:sz w:val="20"/>
                <w:szCs w:val="20"/>
              </w:rPr>
              <w:t>*</w:t>
            </w:r>
          </w:p>
          <w:p w:rsidR="006F1C86" w:rsidRPr="00AB0CE3" w:rsidRDefault="00F534D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(0.1368</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-0.3324</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(0.1426</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-0.2986</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(0.1345</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-0.1891</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(0.1202</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-0.0736</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(0.1271</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-0.2358</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(0.1289</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-0.2363*</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(0.1191</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Divs</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984B9A" w:rsidP="00536F3E">
            <w:pPr>
              <w:jc w:val="center"/>
              <w:rPr>
                <w:rFonts w:ascii="Times New Roman" w:hAnsi="Times New Roman" w:cs="Times New Roman"/>
                <w:sz w:val="20"/>
                <w:szCs w:val="20"/>
              </w:rPr>
            </w:pPr>
            <w:r>
              <w:rPr>
                <w:rFonts w:ascii="Times New Roman" w:hAnsi="Times New Roman" w:cs="Times New Roman"/>
                <w:sz w:val="20"/>
                <w:szCs w:val="20"/>
              </w:rPr>
              <w:t>0.0171</w:t>
            </w:r>
          </w:p>
          <w:p w:rsidR="006F1C86" w:rsidRPr="00AB0CE3" w:rsidRDefault="00984B9A"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(0.0225</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F534DE" w:rsidP="00536F3E">
            <w:pPr>
              <w:jc w:val="center"/>
              <w:rPr>
                <w:rFonts w:ascii="Times New Roman" w:hAnsi="Times New Roman" w:cs="Times New Roman"/>
                <w:sz w:val="20"/>
                <w:szCs w:val="20"/>
              </w:rPr>
            </w:pPr>
            <w:r>
              <w:rPr>
                <w:rFonts w:ascii="Times New Roman" w:hAnsi="Times New Roman" w:cs="Times New Roman"/>
                <w:sz w:val="20"/>
                <w:szCs w:val="20"/>
              </w:rPr>
              <w:t>0.0218</w:t>
            </w:r>
          </w:p>
          <w:p w:rsidR="006F1C86" w:rsidRPr="00AB0CE3" w:rsidRDefault="00F534D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(0.0227</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0.0128</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(0.0226</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0.0116</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(0.0221</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-0.0110</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(0.0280</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0.0243</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(0.0284</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6F1C86" w:rsidP="00536F3E">
            <w:pPr>
              <w:jc w:val="center"/>
              <w:rPr>
                <w:rFonts w:ascii="Times New Roman" w:hAnsi="Times New Roman" w:cs="Times New Roman"/>
                <w:sz w:val="20"/>
                <w:szCs w:val="20"/>
              </w:rPr>
            </w:pPr>
            <w:r>
              <w:rPr>
                <w:rFonts w:ascii="Times New Roman" w:hAnsi="Times New Roman" w:cs="Times New Roman"/>
                <w:sz w:val="20"/>
                <w:szCs w:val="20"/>
              </w:rPr>
              <w:t>0.</w:t>
            </w:r>
            <w:r w:rsidR="00536F3E">
              <w:rPr>
                <w:rFonts w:ascii="Times New Roman" w:hAnsi="Times New Roman" w:cs="Times New Roman"/>
                <w:sz w:val="20"/>
                <w:szCs w:val="20"/>
              </w:rPr>
              <w:t>0067</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(0.0283</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-0.0017</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w:t>
            </w:r>
            <w:r w:rsidR="00531EF4">
              <w:rPr>
                <w:rFonts w:ascii="Times New Roman" w:hAnsi="Times New Roman" w:cs="Times New Roman"/>
                <w:sz w:val="28"/>
                <w:szCs w:val="20"/>
                <w:vertAlign w:val="superscript"/>
              </w:rPr>
              <w:t>278</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Rd</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984B9A" w:rsidP="00536F3E">
            <w:pPr>
              <w:jc w:val="center"/>
              <w:rPr>
                <w:rFonts w:ascii="Times New Roman" w:hAnsi="Times New Roman" w:cs="Times New Roman"/>
                <w:sz w:val="20"/>
                <w:szCs w:val="20"/>
              </w:rPr>
            </w:pPr>
            <w:r>
              <w:rPr>
                <w:rFonts w:ascii="Times New Roman" w:hAnsi="Times New Roman" w:cs="Times New Roman"/>
                <w:sz w:val="20"/>
                <w:szCs w:val="20"/>
              </w:rPr>
              <w:t>-0.2362**</w:t>
            </w:r>
          </w:p>
          <w:p w:rsidR="006F1C86" w:rsidRPr="00AB0CE3" w:rsidRDefault="00984B9A"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(0.1021</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F534DE" w:rsidP="00536F3E">
            <w:pPr>
              <w:jc w:val="center"/>
              <w:rPr>
                <w:rFonts w:ascii="Times New Roman" w:hAnsi="Times New Roman" w:cs="Times New Roman"/>
                <w:sz w:val="20"/>
                <w:szCs w:val="20"/>
              </w:rPr>
            </w:pPr>
            <w:r>
              <w:rPr>
                <w:rFonts w:ascii="Times New Roman" w:hAnsi="Times New Roman" w:cs="Times New Roman"/>
                <w:sz w:val="20"/>
                <w:szCs w:val="20"/>
              </w:rPr>
              <w:t>-0.2411**</w:t>
            </w:r>
          </w:p>
          <w:p w:rsidR="006F1C86" w:rsidRPr="00AB0CE3" w:rsidRDefault="00F534D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(0.1035</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-0.2264**</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(0.1014</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-0.0224**</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(0.0971</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w:t>
            </w:r>
            <w:r w:rsidR="006F1C86">
              <w:rPr>
                <w:rFonts w:ascii="Times New Roman" w:hAnsi="Times New Roman" w:cs="Times New Roman"/>
                <w:sz w:val="20"/>
                <w:szCs w:val="20"/>
              </w:rPr>
              <w:t>0.</w:t>
            </w:r>
            <w:r>
              <w:rPr>
                <w:rFonts w:ascii="Times New Roman" w:hAnsi="Times New Roman" w:cs="Times New Roman"/>
                <w:sz w:val="20"/>
                <w:szCs w:val="20"/>
              </w:rPr>
              <w:t>2853***</w:t>
            </w:r>
          </w:p>
          <w:p w:rsidR="006F1C86" w:rsidRPr="00AB0CE3" w:rsidRDefault="006F1C8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w:t>
            </w:r>
            <w:r w:rsidR="00536F3E">
              <w:rPr>
                <w:rFonts w:ascii="Times New Roman" w:hAnsi="Times New Roman" w:cs="Times New Roman"/>
                <w:sz w:val="28"/>
                <w:szCs w:val="20"/>
                <w:vertAlign w:val="superscript"/>
              </w:rPr>
              <w:t>0.0630</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-0.2962***</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(0.0630</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6F1C86" w:rsidP="00536F3E">
            <w:pPr>
              <w:jc w:val="center"/>
              <w:rPr>
                <w:rFonts w:ascii="Times New Roman" w:hAnsi="Times New Roman" w:cs="Times New Roman"/>
                <w:sz w:val="20"/>
                <w:szCs w:val="20"/>
              </w:rPr>
            </w:pPr>
            <w:r>
              <w:rPr>
                <w:rFonts w:ascii="Times New Roman" w:hAnsi="Times New Roman" w:cs="Times New Roman"/>
                <w:sz w:val="20"/>
                <w:szCs w:val="20"/>
              </w:rPr>
              <w:t>-</w:t>
            </w:r>
            <w:r w:rsidR="00536F3E">
              <w:rPr>
                <w:rFonts w:ascii="Times New Roman" w:hAnsi="Times New Roman" w:cs="Times New Roman"/>
                <w:sz w:val="20"/>
                <w:szCs w:val="20"/>
              </w:rPr>
              <w:t>0.2807</w:t>
            </w:r>
          </w:p>
          <w:p w:rsidR="006F1C86" w:rsidRPr="00AB0CE3" w:rsidRDefault="006F1C8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w:t>
            </w:r>
            <w:r w:rsidR="00536F3E">
              <w:rPr>
                <w:rFonts w:ascii="Times New Roman" w:hAnsi="Times New Roman" w:cs="Times New Roman"/>
                <w:sz w:val="28"/>
                <w:szCs w:val="20"/>
                <w:vertAlign w:val="superscript"/>
              </w:rPr>
              <w:t>0632</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1EF4" w:rsidP="00536F3E">
            <w:pPr>
              <w:jc w:val="center"/>
              <w:rPr>
                <w:rFonts w:ascii="Times New Roman" w:hAnsi="Times New Roman" w:cs="Times New Roman"/>
                <w:sz w:val="20"/>
                <w:szCs w:val="20"/>
              </w:rPr>
            </w:pPr>
            <w:r>
              <w:rPr>
                <w:rFonts w:ascii="Times New Roman" w:hAnsi="Times New Roman" w:cs="Times New Roman"/>
                <w:sz w:val="20"/>
                <w:szCs w:val="20"/>
              </w:rPr>
              <w:t>-0.2707***</w:t>
            </w:r>
          </w:p>
          <w:p w:rsidR="006F1C86" w:rsidRPr="00AB0CE3" w:rsidRDefault="00531EF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(0.0624</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Adv</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984B9A" w:rsidP="00536F3E">
            <w:pPr>
              <w:jc w:val="center"/>
              <w:rPr>
                <w:rFonts w:ascii="Times New Roman" w:hAnsi="Times New Roman" w:cs="Times New Roman"/>
                <w:sz w:val="20"/>
                <w:szCs w:val="20"/>
              </w:rPr>
            </w:pPr>
            <w:r>
              <w:rPr>
                <w:rFonts w:ascii="Times New Roman" w:hAnsi="Times New Roman" w:cs="Times New Roman"/>
                <w:sz w:val="20"/>
                <w:szCs w:val="20"/>
              </w:rPr>
              <w:t>0.8504</w:t>
            </w:r>
            <w:r w:rsidR="006F1C86" w:rsidRPr="00954DE4">
              <w:rPr>
                <w:rFonts w:ascii="Times New Roman" w:hAnsi="Times New Roman" w:cs="Times New Roman"/>
                <w:sz w:val="20"/>
                <w:szCs w:val="20"/>
              </w:rPr>
              <w:t>*</w:t>
            </w:r>
          </w:p>
          <w:p w:rsidR="006F1C86" w:rsidRPr="00AB0CE3" w:rsidRDefault="00984B9A"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(0.4368</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F534DE" w:rsidP="00536F3E">
            <w:pPr>
              <w:jc w:val="center"/>
              <w:rPr>
                <w:rFonts w:ascii="Times New Roman" w:hAnsi="Times New Roman" w:cs="Times New Roman"/>
                <w:sz w:val="20"/>
                <w:szCs w:val="20"/>
              </w:rPr>
            </w:pPr>
            <w:r>
              <w:rPr>
                <w:rFonts w:ascii="Times New Roman" w:hAnsi="Times New Roman" w:cs="Times New Roman"/>
                <w:sz w:val="20"/>
                <w:szCs w:val="20"/>
              </w:rPr>
              <w:t>0.8510</w:t>
            </w:r>
            <w:r w:rsidR="006F1C86">
              <w:rPr>
                <w:rFonts w:ascii="Times New Roman" w:hAnsi="Times New Roman" w:cs="Times New Roman"/>
                <w:sz w:val="20"/>
                <w:szCs w:val="20"/>
              </w:rPr>
              <w:t>*</w:t>
            </w:r>
          </w:p>
          <w:p w:rsidR="006F1C86" w:rsidRPr="00AB0CE3" w:rsidRDefault="00F534D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(0.4349</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0.8634</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(0.4348</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0.9099</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(0.4334</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1.2416</w:t>
            </w:r>
            <w:r w:rsidR="006F1C86">
              <w:rPr>
                <w:rFonts w:ascii="Times New Roman" w:hAnsi="Times New Roman" w:cs="Times New Roman"/>
                <w:sz w:val="20"/>
                <w:szCs w:val="20"/>
              </w:rPr>
              <w:t>*</w:t>
            </w:r>
            <w:r w:rsidR="006F1C86" w:rsidRPr="00954DE4">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(0.4338</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6F1C86" w:rsidP="00536F3E">
            <w:pPr>
              <w:jc w:val="center"/>
              <w:rPr>
                <w:rFonts w:ascii="Times New Roman" w:hAnsi="Times New Roman" w:cs="Times New Roman"/>
                <w:sz w:val="20"/>
                <w:szCs w:val="20"/>
              </w:rPr>
            </w:pPr>
            <w:r>
              <w:rPr>
                <w:rFonts w:ascii="Times New Roman" w:hAnsi="Times New Roman" w:cs="Times New Roman"/>
                <w:sz w:val="20"/>
                <w:szCs w:val="20"/>
              </w:rPr>
              <w:t>1</w:t>
            </w:r>
            <w:r w:rsidR="00536F3E">
              <w:rPr>
                <w:rFonts w:ascii="Times New Roman" w:hAnsi="Times New Roman" w:cs="Times New Roman"/>
                <w:sz w:val="20"/>
                <w:szCs w:val="20"/>
              </w:rPr>
              <w:t>.2475</w:t>
            </w:r>
            <w:r>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(0.4326</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1.2430</w:t>
            </w:r>
            <w:r w:rsidR="006F1C86">
              <w:rPr>
                <w:rFonts w:ascii="Times New Roman" w:hAnsi="Times New Roman" w:cs="Times New Roman"/>
                <w:sz w:val="20"/>
                <w:szCs w:val="20"/>
              </w:rPr>
              <w:t>***</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(0.4338</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1EF4" w:rsidP="00536F3E">
            <w:pPr>
              <w:jc w:val="center"/>
              <w:rPr>
                <w:rFonts w:ascii="Times New Roman" w:hAnsi="Times New Roman" w:cs="Times New Roman"/>
                <w:sz w:val="20"/>
                <w:szCs w:val="20"/>
              </w:rPr>
            </w:pPr>
            <w:r>
              <w:rPr>
                <w:rFonts w:ascii="Times New Roman" w:hAnsi="Times New Roman" w:cs="Times New Roman"/>
                <w:sz w:val="20"/>
                <w:szCs w:val="20"/>
              </w:rPr>
              <w:t>1.2762</w:t>
            </w:r>
            <w:r w:rsidR="006F1C86">
              <w:rPr>
                <w:rFonts w:ascii="Times New Roman" w:hAnsi="Times New Roman" w:cs="Times New Roman"/>
                <w:sz w:val="20"/>
                <w:szCs w:val="20"/>
              </w:rPr>
              <w:t>***</w:t>
            </w:r>
          </w:p>
          <w:p w:rsidR="006F1C86" w:rsidRPr="00AB0CE3" w:rsidRDefault="00531EF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(0.4287</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Mb</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984B9A" w:rsidP="00536F3E">
            <w:pPr>
              <w:jc w:val="center"/>
              <w:rPr>
                <w:rFonts w:ascii="Times New Roman" w:hAnsi="Times New Roman" w:cs="Times New Roman"/>
                <w:sz w:val="20"/>
                <w:szCs w:val="20"/>
              </w:rPr>
            </w:pPr>
            <w:r>
              <w:rPr>
                <w:rFonts w:ascii="Times New Roman" w:hAnsi="Times New Roman" w:cs="Times New Roman"/>
                <w:sz w:val="20"/>
                <w:szCs w:val="20"/>
              </w:rPr>
              <w:t>-0.0058</w:t>
            </w:r>
          </w:p>
          <w:p w:rsidR="006F1C86" w:rsidRPr="00AB0CE3" w:rsidRDefault="00984B9A"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(0.0126</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F534DE" w:rsidP="00536F3E">
            <w:pPr>
              <w:jc w:val="center"/>
              <w:rPr>
                <w:rFonts w:ascii="Times New Roman" w:hAnsi="Times New Roman" w:cs="Times New Roman"/>
                <w:sz w:val="20"/>
                <w:szCs w:val="20"/>
              </w:rPr>
            </w:pPr>
            <w:r>
              <w:rPr>
                <w:rFonts w:ascii="Times New Roman" w:hAnsi="Times New Roman" w:cs="Times New Roman"/>
                <w:sz w:val="20"/>
                <w:szCs w:val="20"/>
              </w:rPr>
              <w:t>-0.0061</w:t>
            </w:r>
          </w:p>
          <w:p w:rsidR="006F1C86" w:rsidRPr="00AB0CE3" w:rsidRDefault="00F534D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(0.0126</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-0.0047</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(0.0126</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-0.0059</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(0.0124</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0.0103</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(0.0094</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0.0101</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(0.0094</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6F3E" w:rsidP="00536F3E">
            <w:pPr>
              <w:jc w:val="center"/>
              <w:rPr>
                <w:rFonts w:ascii="Times New Roman" w:hAnsi="Times New Roman" w:cs="Times New Roman"/>
                <w:sz w:val="20"/>
                <w:szCs w:val="20"/>
              </w:rPr>
            </w:pPr>
            <w:r>
              <w:rPr>
                <w:rFonts w:ascii="Times New Roman" w:hAnsi="Times New Roman" w:cs="Times New Roman"/>
                <w:sz w:val="20"/>
                <w:szCs w:val="20"/>
              </w:rPr>
              <w:t>0.0106</w:t>
            </w:r>
          </w:p>
          <w:p w:rsidR="006F1C86" w:rsidRPr="00AB0CE3" w:rsidRDefault="00536F3E"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(0.0094</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531EF4" w:rsidP="00536F3E">
            <w:pPr>
              <w:jc w:val="center"/>
              <w:rPr>
                <w:rFonts w:ascii="Times New Roman" w:hAnsi="Times New Roman" w:cs="Times New Roman"/>
                <w:sz w:val="20"/>
                <w:szCs w:val="20"/>
              </w:rPr>
            </w:pPr>
            <w:r>
              <w:rPr>
                <w:rFonts w:ascii="Times New Roman" w:hAnsi="Times New Roman" w:cs="Times New Roman"/>
                <w:sz w:val="20"/>
                <w:szCs w:val="20"/>
              </w:rPr>
              <w:t>0.0100</w:t>
            </w:r>
          </w:p>
          <w:p w:rsidR="006F1C86" w:rsidRPr="00AB0CE3" w:rsidRDefault="00531EF4"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(0.0093</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6"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r>
      <w:tr w:rsidR="006F1C86" w:rsidTr="00536F3E">
        <w:tc>
          <w:tcPr>
            <w:tcW w:w="1789" w:type="dxa"/>
            <w:tcBorders>
              <w:top w:val="nil"/>
              <w:left w:val="nil"/>
              <w:bottom w:val="nil"/>
              <w:right w:val="nil"/>
            </w:tcBorders>
          </w:tcPr>
          <w:p w:rsidR="006F1C86" w:rsidRPr="00954DE4" w:rsidRDefault="006F1C86" w:rsidP="00536F3E">
            <w:pPr>
              <w:rPr>
                <w:rFonts w:ascii="Times New Roman" w:hAnsi="Times New Roman" w:cs="Times New Roman"/>
                <w:sz w:val="20"/>
                <w:szCs w:val="20"/>
              </w:rPr>
            </w:pPr>
            <w:r>
              <w:rPr>
                <w:rFonts w:ascii="Times New Roman" w:hAnsi="Times New Roman" w:cs="Times New Roman"/>
                <w:sz w:val="20"/>
                <w:szCs w:val="20"/>
              </w:rPr>
              <w:t>N</w:t>
            </w: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586"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5165</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5165</w:t>
            </w:r>
          </w:p>
        </w:tc>
      </w:tr>
      <w:tr w:rsidR="006F1C86" w:rsidTr="00536F3E">
        <w:tc>
          <w:tcPr>
            <w:tcW w:w="1789" w:type="dxa"/>
            <w:tcBorders>
              <w:top w:val="nil"/>
              <w:left w:val="nil"/>
              <w:right w:val="nil"/>
            </w:tcBorders>
          </w:tcPr>
          <w:p w:rsidR="006F1C86" w:rsidRPr="009A001F" w:rsidRDefault="006F1C86" w:rsidP="00536F3E">
            <w:pPr>
              <w:rPr>
                <w:rFonts w:ascii="Times New Roman" w:hAnsi="Times New Roman" w:cs="Times New Roman"/>
                <w:sz w:val="20"/>
                <w:szCs w:val="20"/>
              </w:rPr>
            </w:pPr>
            <w:r>
              <w:rPr>
                <w:rFonts w:ascii="Times New Roman" w:hAnsi="Times New Roman" w:cs="Times New Roman"/>
                <w:sz w:val="20"/>
                <w:szCs w:val="20"/>
              </w:rPr>
              <w:t>R</w:t>
            </w:r>
            <w:r w:rsidRPr="009A001F">
              <w:rPr>
                <w:rFonts w:ascii="Times New Roman" w:hAnsi="Times New Roman" w:cs="Times New Roman"/>
                <w:sz w:val="20"/>
                <w:szCs w:val="20"/>
                <w:vertAlign w:val="superscript"/>
              </w:rPr>
              <w:t>2</w:t>
            </w:r>
          </w:p>
        </w:tc>
        <w:tc>
          <w:tcPr>
            <w:tcW w:w="1587" w:type="dxa"/>
            <w:tcBorders>
              <w:top w:val="nil"/>
              <w:left w:val="nil"/>
              <w:right w:val="nil"/>
            </w:tcBorders>
          </w:tcPr>
          <w:p w:rsidR="006F1C86" w:rsidRPr="0075597C" w:rsidRDefault="00984B9A" w:rsidP="00536F3E">
            <w:pPr>
              <w:jc w:val="center"/>
              <w:rPr>
                <w:rFonts w:ascii="Times New Roman" w:hAnsi="Times New Roman" w:cs="Times New Roman"/>
                <w:sz w:val="20"/>
                <w:szCs w:val="20"/>
              </w:rPr>
            </w:pPr>
            <w:r>
              <w:rPr>
                <w:rFonts w:ascii="Times New Roman" w:hAnsi="Times New Roman" w:cs="Times New Roman"/>
                <w:sz w:val="20"/>
                <w:szCs w:val="20"/>
              </w:rPr>
              <w:t>0.1787</w:t>
            </w:r>
          </w:p>
        </w:tc>
        <w:tc>
          <w:tcPr>
            <w:tcW w:w="1587" w:type="dxa"/>
            <w:tcBorders>
              <w:top w:val="nil"/>
              <w:left w:val="nil"/>
              <w:right w:val="nil"/>
            </w:tcBorders>
          </w:tcPr>
          <w:p w:rsidR="006F1C86" w:rsidRPr="0075597C" w:rsidRDefault="00984B9A" w:rsidP="00536F3E">
            <w:pPr>
              <w:jc w:val="center"/>
              <w:rPr>
                <w:rFonts w:ascii="Times New Roman" w:hAnsi="Times New Roman" w:cs="Times New Roman"/>
                <w:sz w:val="20"/>
                <w:szCs w:val="20"/>
              </w:rPr>
            </w:pPr>
            <w:r>
              <w:rPr>
                <w:rFonts w:ascii="Times New Roman" w:hAnsi="Times New Roman" w:cs="Times New Roman"/>
                <w:sz w:val="20"/>
                <w:szCs w:val="20"/>
              </w:rPr>
              <w:t>0.1795</w:t>
            </w:r>
          </w:p>
        </w:tc>
        <w:tc>
          <w:tcPr>
            <w:tcW w:w="1587" w:type="dxa"/>
            <w:tcBorders>
              <w:top w:val="nil"/>
              <w:left w:val="nil"/>
              <w:right w:val="nil"/>
            </w:tcBorders>
          </w:tcPr>
          <w:p w:rsidR="006F1C86" w:rsidRPr="0075597C" w:rsidRDefault="00984B9A" w:rsidP="00536F3E">
            <w:pPr>
              <w:jc w:val="center"/>
              <w:rPr>
                <w:rFonts w:ascii="Times New Roman" w:hAnsi="Times New Roman" w:cs="Times New Roman"/>
                <w:sz w:val="20"/>
                <w:szCs w:val="20"/>
              </w:rPr>
            </w:pPr>
            <w:r>
              <w:rPr>
                <w:rFonts w:ascii="Times New Roman" w:hAnsi="Times New Roman" w:cs="Times New Roman"/>
                <w:sz w:val="20"/>
                <w:szCs w:val="20"/>
              </w:rPr>
              <w:t>0.1799</w:t>
            </w:r>
          </w:p>
        </w:tc>
        <w:tc>
          <w:tcPr>
            <w:tcW w:w="1586" w:type="dxa"/>
            <w:tcBorders>
              <w:top w:val="nil"/>
              <w:left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0.</w:t>
            </w:r>
            <w:r w:rsidR="00984B9A">
              <w:rPr>
                <w:rFonts w:ascii="Times New Roman" w:hAnsi="Times New Roman" w:cs="Times New Roman"/>
                <w:sz w:val="20"/>
                <w:szCs w:val="20"/>
              </w:rPr>
              <w:t>1892</w:t>
            </w:r>
          </w:p>
        </w:tc>
        <w:tc>
          <w:tcPr>
            <w:tcW w:w="1260" w:type="dxa"/>
            <w:tcBorders>
              <w:top w:val="nil"/>
              <w:left w:val="nil"/>
              <w:right w:val="nil"/>
            </w:tcBorders>
          </w:tcPr>
          <w:p w:rsidR="006F1C86" w:rsidRPr="0075597C" w:rsidRDefault="00984B9A" w:rsidP="00536F3E">
            <w:pPr>
              <w:jc w:val="center"/>
              <w:rPr>
                <w:rFonts w:ascii="Times New Roman" w:hAnsi="Times New Roman" w:cs="Times New Roman"/>
                <w:sz w:val="20"/>
                <w:szCs w:val="20"/>
              </w:rPr>
            </w:pPr>
            <w:r>
              <w:rPr>
                <w:rFonts w:ascii="Times New Roman" w:hAnsi="Times New Roman" w:cs="Times New Roman"/>
                <w:sz w:val="20"/>
                <w:szCs w:val="20"/>
              </w:rPr>
              <w:t>0.1912</w:t>
            </w:r>
          </w:p>
        </w:tc>
        <w:tc>
          <w:tcPr>
            <w:tcW w:w="1260" w:type="dxa"/>
            <w:tcBorders>
              <w:top w:val="nil"/>
              <w:left w:val="nil"/>
              <w:right w:val="nil"/>
            </w:tcBorders>
          </w:tcPr>
          <w:p w:rsidR="006F1C86" w:rsidRPr="0075597C" w:rsidRDefault="00984B9A" w:rsidP="00536F3E">
            <w:pPr>
              <w:jc w:val="center"/>
              <w:rPr>
                <w:rFonts w:ascii="Times New Roman" w:hAnsi="Times New Roman" w:cs="Times New Roman"/>
                <w:sz w:val="20"/>
                <w:szCs w:val="20"/>
              </w:rPr>
            </w:pPr>
            <w:r>
              <w:rPr>
                <w:rFonts w:ascii="Times New Roman" w:hAnsi="Times New Roman" w:cs="Times New Roman"/>
                <w:sz w:val="20"/>
                <w:szCs w:val="20"/>
              </w:rPr>
              <w:t>0.1961</w:t>
            </w:r>
          </w:p>
        </w:tc>
        <w:tc>
          <w:tcPr>
            <w:tcW w:w="1260" w:type="dxa"/>
            <w:tcBorders>
              <w:top w:val="nil"/>
              <w:left w:val="nil"/>
              <w:right w:val="nil"/>
            </w:tcBorders>
          </w:tcPr>
          <w:p w:rsidR="006F1C86" w:rsidRPr="0075597C" w:rsidRDefault="00984B9A" w:rsidP="00536F3E">
            <w:pPr>
              <w:jc w:val="center"/>
              <w:rPr>
                <w:rFonts w:ascii="Times New Roman" w:hAnsi="Times New Roman" w:cs="Times New Roman"/>
                <w:sz w:val="20"/>
                <w:szCs w:val="20"/>
              </w:rPr>
            </w:pPr>
            <w:r>
              <w:rPr>
                <w:rFonts w:ascii="Times New Roman" w:hAnsi="Times New Roman" w:cs="Times New Roman"/>
                <w:sz w:val="20"/>
                <w:szCs w:val="20"/>
              </w:rPr>
              <w:t>0.1919</w:t>
            </w:r>
          </w:p>
        </w:tc>
        <w:tc>
          <w:tcPr>
            <w:tcW w:w="1260" w:type="dxa"/>
            <w:tcBorders>
              <w:top w:val="nil"/>
              <w:left w:val="nil"/>
              <w:right w:val="nil"/>
            </w:tcBorders>
          </w:tcPr>
          <w:p w:rsidR="006F1C86" w:rsidRPr="0075597C" w:rsidRDefault="00984B9A" w:rsidP="00536F3E">
            <w:pPr>
              <w:jc w:val="center"/>
              <w:rPr>
                <w:rFonts w:ascii="Times New Roman" w:hAnsi="Times New Roman" w:cs="Times New Roman"/>
                <w:sz w:val="20"/>
                <w:szCs w:val="20"/>
              </w:rPr>
            </w:pPr>
            <w:r>
              <w:rPr>
                <w:rFonts w:ascii="Times New Roman" w:hAnsi="Times New Roman" w:cs="Times New Roman"/>
                <w:sz w:val="20"/>
                <w:szCs w:val="20"/>
              </w:rPr>
              <w:t>0.2108</w:t>
            </w:r>
          </w:p>
        </w:tc>
      </w:tr>
    </w:tbl>
    <w:p w:rsidR="006F1C86" w:rsidRDefault="006F1C86" w:rsidP="006F1C86"/>
    <w:p w:rsidR="006F1C86" w:rsidRDefault="006F1C86" w:rsidP="006F1C86"/>
    <w:p w:rsidR="006F1C86" w:rsidRDefault="006F1C86" w:rsidP="006F1C86"/>
    <w:p w:rsidR="006F1C86" w:rsidRDefault="006F1C86" w:rsidP="006F1C86"/>
    <w:p w:rsidR="006F1C86" w:rsidRDefault="006F1C86" w:rsidP="006F1C86"/>
    <w:p w:rsidR="006F1C86" w:rsidRDefault="006F1C86" w:rsidP="006F1C86"/>
    <w:p w:rsidR="006F1C86" w:rsidRDefault="006F1C86" w:rsidP="006F1C86"/>
    <w:p w:rsidR="006F1C86" w:rsidRDefault="006F1C86" w:rsidP="006F1C86"/>
    <w:p w:rsidR="006F1C86" w:rsidRDefault="006F1C86" w:rsidP="006F1C86"/>
    <w:p w:rsidR="006F1C86" w:rsidRDefault="006F1C86" w:rsidP="006F1C86"/>
    <w:p w:rsidR="006F1C86" w:rsidRDefault="006F1C86" w:rsidP="006F1C86"/>
    <w:tbl>
      <w:tblPr>
        <w:tblStyle w:val="TableGrid"/>
        <w:tblW w:w="0" w:type="auto"/>
        <w:tblLook w:val="04A0" w:firstRow="1" w:lastRow="0" w:firstColumn="1" w:lastColumn="0" w:noHBand="0" w:noVBand="1"/>
      </w:tblPr>
      <w:tblGrid>
        <w:gridCol w:w="1789"/>
        <w:gridCol w:w="1587"/>
        <w:gridCol w:w="1587"/>
        <w:gridCol w:w="1587"/>
        <w:gridCol w:w="1586"/>
        <w:gridCol w:w="1260"/>
        <w:gridCol w:w="1260"/>
        <w:gridCol w:w="1260"/>
        <w:gridCol w:w="1260"/>
      </w:tblGrid>
      <w:tr w:rsidR="006F1C86" w:rsidTr="00536F3E">
        <w:tc>
          <w:tcPr>
            <w:tcW w:w="13176" w:type="dxa"/>
            <w:gridSpan w:val="9"/>
            <w:tcBorders>
              <w:top w:val="nil"/>
              <w:left w:val="nil"/>
              <w:bottom w:val="nil"/>
              <w:right w:val="nil"/>
            </w:tcBorders>
          </w:tcPr>
          <w:p w:rsidR="006F1C86" w:rsidRPr="00606CEE" w:rsidRDefault="006F1C86" w:rsidP="00536F3E">
            <w:pPr>
              <w:rPr>
                <w:rFonts w:ascii="Times New Roman" w:hAnsi="Times New Roman" w:cs="Times New Roman"/>
                <w:b/>
                <w:sz w:val="20"/>
                <w:szCs w:val="20"/>
              </w:rPr>
            </w:pPr>
            <w:r>
              <w:rPr>
                <w:rFonts w:ascii="Times New Roman" w:hAnsi="Times New Roman" w:cs="Times New Roman"/>
                <w:b/>
                <w:sz w:val="20"/>
                <w:szCs w:val="20"/>
              </w:rPr>
              <w:t>Table 5</w:t>
            </w:r>
          </w:p>
          <w:p w:rsidR="006F1C86" w:rsidRPr="00606CEE" w:rsidRDefault="006F1C86" w:rsidP="00536F3E">
            <w:pPr>
              <w:rPr>
                <w:rFonts w:ascii="Times New Roman" w:hAnsi="Times New Roman" w:cs="Times New Roman"/>
                <w:b/>
                <w:sz w:val="20"/>
                <w:szCs w:val="20"/>
              </w:rPr>
            </w:pPr>
            <w:r>
              <w:rPr>
                <w:rFonts w:ascii="Times New Roman" w:hAnsi="Times New Roman" w:cs="Times New Roman"/>
                <w:b/>
                <w:sz w:val="20"/>
                <w:szCs w:val="20"/>
              </w:rPr>
              <w:t>Net Market</w:t>
            </w:r>
            <w:r w:rsidRPr="00606CEE">
              <w:rPr>
                <w:rFonts w:ascii="Times New Roman" w:hAnsi="Times New Roman" w:cs="Times New Roman"/>
                <w:b/>
                <w:sz w:val="20"/>
                <w:szCs w:val="20"/>
              </w:rPr>
              <w:t xml:space="preserve"> Leverage Regressions</w:t>
            </w:r>
          </w:p>
          <w:p w:rsidR="006F1C86" w:rsidRDefault="006F1C86" w:rsidP="00536F3E">
            <w:pPr>
              <w:rPr>
                <w:rFonts w:ascii="Times New Roman" w:hAnsi="Times New Roman" w:cs="Times New Roman"/>
                <w:sz w:val="20"/>
                <w:szCs w:val="20"/>
              </w:rPr>
            </w:pPr>
            <w:r w:rsidRPr="008D5EED">
              <w:rPr>
                <w:rFonts w:ascii="Times New Roman" w:hAnsi="Times New Roman" w:cs="Times New Roman"/>
                <w:sz w:val="20"/>
                <w:szCs w:val="20"/>
              </w:rPr>
              <w:t>The table reports the results from estima</w:t>
            </w:r>
            <w:r>
              <w:rPr>
                <w:rFonts w:ascii="Times New Roman" w:hAnsi="Times New Roman" w:cs="Times New Roman"/>
                <w:sz w:val="20"/>
                <w:szCs w:val="20"/>
              </w:rPr>
              <w:t>ting the following OLS equation in columns I-IV:</w:t>
            </w:r>
          </w:p>
          <w:p w:rsidR="006F1C86" w:rsidRPr="0067227A"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eastAsiaTheme="minorEastAsia" w:hAnsi="Times New Roman" w:cs="Times New Roman"/>
                <w:sz w:val="20"/>
                <w:szCs w:val="20"/>
              </w:rPr>
            </w:pPr>
            <m:oMath>
              <m:r>
                <w:rPr>
                  <w:rFonts w:ascii="Cambria Math" w:hAnsi="Cambria Math" w:cs="Times New Roman"/>
                  <w:sz w:val="20"/>
                  <w:szCs w:val="20"/>
                </w:rPr>
                <m:t xml:space="preserve">        Net MV Le</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tax+</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r>
                <w:rPr>
                  <w:rFonts w:ascii="Cambria Math" w:hAnsi="Cambria Math" w:cs="Times New Roman"/>
                  <w:sz w:val="20"/>
                  <w:szCs w:val="20"/>
                </w:rPr>
                <m:t>sale</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ed</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r>
                <w:rPr>
                  <w:rFonts w:ascii="Cambria Math" w:hAnsi="Cambria Math" w:cs="Times New Roman"/>
                  <w:sz w:val="20"/>
                  <w:szCs w:val="20"/>
                </w:rPr>
                <m:t>ppe</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r>
                <w:rPr>
                  <w:rFonts w:ascii="Cambria Math" w:hAnsi="Cambria Math" w:cs="Times New Roman"/>
                  <w:sz w:val="20"/>
                  <w:szCs w:val="20"/>
                </w:rPr>
                <m:t>ro</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6</m:t>
                  </m:r>
                </m:sub>
              </m:sSub>
              <m:r>
                <w:rPr>
                  <w:rFonts w:ascii="Cambria Math" w:hAnsi="Cambria Math" w:cs="Times New Roman"/>
                  <w:sz w:val="20"/>
                  <w:szCs w:val="20"/>
                </w:rPr>
                <m:t>div</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7</m:t>
                  </m:r>
                </m:sub>
              </m:sSub>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8</m:t>
                  </m:r>
                </m:sub>
              </m:sSub>
              <m:r>
                <w:rPr>
                  <w:rFonts w:ascii="Cambria Math" w:hAnsi="Cambria Math" w:cs="Times New Roman"/>
                  <w:sz w:val="20"/>
                  <w:szCs w:val="20"/>
                </w:rPr>
                <m:t>ad</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9</m:t>
                  </m:r>
                </m:sub>
              </m:sSub>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10</m:t>
                  </m:r>
                </m:sub>
              </m:sSub>
              <m:r>
                <w:rPr>
                  <w:rFonts w:ascii="Cambria Math" w:hAnsi="Cambria Math" w:cs="Times New Roman"/>
                  <w:sz w:val="20"/>
                  <w:szCs w:val="20"/>
                </w:rPr>
                <m:t xml:space="preserve">dyear2003+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11</m:t>
                  </m:r>
                </m:sub>
              </m:sSub>
              <m:r>
                <w:rPr>
                  <w:rFonts w:ascii="Cambria Math" w:hAnsi="Cambria Math" w:cs="Times New Roman"/>
                  <w:sz w:val="20"/>
                  <w:szCs w:val="20"/>
                </w:rPr>
                <m:t xml:space="preserve">dyear2004+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12</m:t>
                  </m:r>
                </m:sub>
              </m:sSub>
              <m:r>
                <w:rPr>
                  <w:rFonts w:ascii="Cambria Math" w:hAnsi="Cambria Math" w:cs="Times New Roman"/>
                  <w:sz w:val="20"/>
                  <w:szCs w:val="20"/>
                </w:rPr>
                <m:t xml:space="preserve">dyear2005+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13</m:t>
                  </m:r>
                </m:sub>
              </m:sSub>
              <m:r>
                <w:rPr>
                  <w:rFonts w:ascii="Cambria Math" w:hAnsi="Cambria Math" w:cs="Times New Roman"/>
                  <w:sz w:val="20"/>
                  <w:szCs w:val="20"/>
                </w:rPr>
                <m:t xml:space="preserve">dyear2006+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14</m:t>
                  </m:r>
                </m:sub>
              </m:sSub>
              <m:r>
                <w:rPr>
                  <w:rFonts w:ascii="Cambria Math" w:hAnsi="Cambria Math" w:cs="Times New Roman"/>
                  <w:sz w:val="20"/>
                  <w:szCs w:val="20"/>
                </w:rPr>
                <m:t xml:space="preserve">dyear2007+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15</m:t>
                  </m:r>
                </m:sub>
              </m:sSub>
              <m:r>
                <w:rPr>
                  <w:rFonts w:ascii="Cambria Math" w:hAnsi="Cambria Math" w:cs="Times New Roman"/>
                  <w:sz w:val="20"/>
                  <w:szCs w:val="20"/>
                </w:rPr>
                <m:t>dyear2008+</m:t>
              </m:r>
              <m:sSub>
                <m:sSubPr>
                  <m:ctrlPr>
                    <w:rPr>
                      <w:rFonts w:ascii="Cambria Math" w:hAnsi="Cambria Math" w:cs="Times New Roman"/>
                      <w:i/>
                      <w:sz w:val="20"/>
                      <w:szCs w:val="20"/>
                    </w:rPr>
                  </m:ctrlPr>
                </m:sSubPr>
                <m:e>
                  <m:r>
                    <w:rPr>
                      <w:rFonts w:ascii="Cambria Math" w:hAnsi="Cambria Math" w:cs="Times New Roman"/>
                      <w:sz w:val="20"/>
                      <w:szCs w:val="20"/>
                    </w:rPr>
                    <m:t>ϵ</m:t>
                  </m:r>
                </m:e>
                <m:sub>
                  <m:r>
                    <w:rPr>
                      <w:rFonts w:ascii="Cambria Math" w:hAnsi="Cambria Math" w:cs="Times New Roman"/>
                      <w:sz w:val="20"/>
                      <w:szCs w:val="20"/>
                    </w:rPr>
                    <m:t>i,t</m:t>
                  </m:r>
                </m:sub>
              </m:sSub>
            </m:oMath>
            <w:r>
              <w:rPr>
                <w:rFonts w:ascii="Times New Roman" w:eastAsiaTheme="minorEastAsia" w:hAnsi="Times New Roman" w:cs="Times New Roman"/>
                <w:sz w:val="20"/>
                <w:szCs w:val="20"/>
              </w:rPr>
              <w:t xml:space="preserve">   </w:t>
            </w:r>
          </w:p>
          <w:p w:rsidR="006F1C86"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Columns V-VIII report the results from estimation using between effects which is the OLS estimator applied to the following time-averaged equation:</w:t>
            </w:r>
          </w:p>
          <w:p w:rsidR="006F1C86"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eastAsiaTheme="minorEastAsia" w:hAnsi="Times New Roman" w:cs="Times New Roman"/>
                <w:sz w:val="20"/>
                <w:szCs w:val="20"/>
              </w:rPr>
            </w:pPr>
            <m:oMath>
              <m:r>
                <w:rPr>
                  <w:rFonts w:ascii="Cambria Math" w:hAnsi="Cambria Math" w:cs="Times New Roman"/>
                  <w:sz w:val="20"/>
                  <w:szCs w:val="20"/>
                </w:rPr>
                <m:t xml:space="preserve">        Net MV </m:t>
              </m:r>
              <m:acc>
                <m:accPr>
                  <m:chr m:val="̅"/>
                  <m:ctrlPr>
                    <w:rPr>
                      <w:rFonts w:ascii="Cambria Math" w:hAnsi="Cambria Math" w:cs="Times New Roman"/>
                      <w:i/>
                      <w:sz w:val="20"/>
                      <w:szCs w:val="20"/>
                    </w:rPr>
                  </m:ctrlPr>
                </m:accPr>
                <m:e>
                  <m:r>
                    <w:rPr>
                      <w:rFonts w:ascii="Cambria Math" w:hAnsi="Cambria Math" w:cs="Times New Roman"/>
                      <w:sz w:val="20"/>
                      <w:szCs w:val="20"/>
                    </w:rPr>
                    <m:t>Le</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tax+</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acc>
                <m:accPr>
                  <m:chr m:val="̅"/>
                  <m:ctrlPr>
                    <w:rPr>
                      <w:rFonts w:ascii="Cambria Math" w:hAnsi="Cambria Math" w:cs="Times New Roman"/>
                      <w:i/>
                      <w:sz w:val="20"/>
                      <w:szCs w:val="20"/>
                    </w:rPr>
                  </m:ctrlPr>
                </m:accPr>
                <m:e>
                  <m:r>
                    <w:rPr>
                      <w:rFonts w:ascii="Cambria Math" w:hAnsi="Cambria Math" w:cs="Times New Roman"/>
                      <w:sz w:val="20"/>
                      <w:szCs w:val="20"/>
                    </w:rPr>
                    <m:t>sale</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acc>
                <m:accPr>
                  <m:chr m:val="̅"/>
                  <m:ctrlPr>
                    <w:rPr>
                      <w:rFonts w:ascii="Cambria Math" w:hAnsi="Cambria Math" w:cs="Times New Roman"/>
                      <w:i/>
                      <w:sz w:val="20"/>
                      <w:szCs w:val="20"/>
                    </w:rPr>
                  </m:ctrlPr>
                </m:accPr>
                <m:e>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ed</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acc>
                <m:accPr>
                  <m:chr m:val="̅"/>
                  <m:ctrlPr>
                    <w:rPr>
                      <w:rFonts w:ascii="Cambria Math" w:hAnsi="Cambria Math" w:cs="Times New Roman"/>
                      <w:i/>
                      <w:sz w:val="20"/>
                      <w:szCs w:val="20"/>
                    </w:rPr>
                  </m:ctrlPr>
                </m:accPr>
                <m:e>
                  <m:r>
                    <w:rPr>
                      <w:rFonts w:ascii="Cambria Math" w:hAnsi="Cambria Math" w:cs="Times New Roman"/>
                      <w:sz w:val="20"/>
                      <w:szCs w:val="20"/>
                    </w:rPr>
                    <m:t>ppe</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acc>
                <m:accPr>
                  <m:chr m:val="̅"/>
                  <m:ctrlPr>
                    <w:rPr>
                      <w:rFonts w:ascii="Cambria Math" w:hAnsi="Cambria Math" w:cs="Times New Roman"/>
                      <w:i/>
                      <w:sz w:val="20"/>
                      <w:szCs w:val="20"/>
                    </w:rPr>
                  </m:ctrlPr>
                </m:accPr>
                <m:e>
                  <m:r>
                    <w:rPr>
                      <w:rFonts w:ascii="Cambria Math" w:hAnsi="Cambria Math" w:cs="Times New Roman"/>
                      <w:sz w:val="20"/>
                      <w:szCs w:val="20"/>
                    </w:rPr>
                    <m:t>ro</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6</m:t>
                  </m:r>
                </m:sub>
              </m:sSub>
              <m:acc>
                <m:accPr>
                  <m:chr m:val="̅"/>
                  <m:ctrlPr>
                    <w:rPr>
                      <w:rFonts w:ascii="Cambria Math" w:hAnsi="Cambria Math" w:cs="Times New Roman"/>
                      <w:i/>
                      <w:sz w:val="20"/>
                      <w:szCs w:val="20"/>
                    </w:rPr>
                  </m:ctrlPr>
                </m:accPr>
                <m:e>
                  <m:r>
                    <w:rPr>
                      <w:rFonts w:ascii="Cambria Math" w:hAnsi="Cambria Math" w:cs="Times New Roman"/>
                      <w:sz w:val="20"/>
                      <w:szCs w:val="20"/>
                    </w:rPr>
                    <m:t>div</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7</m:t>
                  </m:r>
                </m:sub>
              </m:sSub>
              <m:acc>
                <m:accPr>
                  <m:chr m:val="̅"/>
                  <m:ctrlPr>
                    <w:rPr>
                      <w:rFonts w:ascii="Cambria Math" w:hAnsi="Cambria Math" w:cs="Times New Roman"/>
                      <w:i/>
                      <w:sz w:val="20"/>
                      <w:szCs w:val="20"/>
                    </w:rPr>
                  </m:ctrlPr>
                </m:accPr>
                <m:e>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8</m:t>
                  </m:r>
                </m:sub>
              </m:sSub>
              <m:acc>
                <m:accPr>
                  <m:chr m:val="̅"/>
                  <m:ctrlPr>
                    <w:rPr>
                      <w:rFonts w:ascii="Cambria Math" w:hAnsi="Cambria Math" w:cs="Times New Roman"/>
                      <w:i/>
                      <w:sz w:val="20"/>
                      <w:szCs w:val="20"/>
                    </w:rPr>
                  </m:ctrlPr>
                </m:accPr>
                <m:e>
                  <m:r>
                    <w:rPr>
                      <w:rFonts w:ascii="Cambria Math" w:hAnsi="Cambria Math" w:cs="Times New Roman"/>
                      <w:sz w:val="20"/>
                      <w:szCs w:val="20"/>
                    </w:rPr>
                    <m:t>ad</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9</m:t>
                  </m:r>
                </m:sub>
              </m:sSub>
              <m:acc>
                <m:accPr>
                  <m:chr m:val="̅"/>
                  <m:ctrlPr>
                    <w:rPr>
                      <w:rFonts w:ascii="Cambria Math" w:hAnsi="Cambria Math" w:cs="Times New Roman"/>
                      <w:i/>
                      <w:sz w:val="20"/>
                      <w:szCs w:val="20"/>
                    </w:rPr>
                  </m:ctrlPr>
                </m:accPr>
                <m:e>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ϵ</m:t>
                  </m:r>
                </m:e>
                <m:sub>
                  <m:r>
                    <w:rPr>
                      <w:rFonts w:ascii="Cambria Math" w:hAnsi="Cambria Math" w:cs="Times New Roman"/>
                      <w:sz w:val="20"/>
                      <w:szCs w:val="20"/>
                    </w:rPr>
                    <m:t>i,t</m:t>
                  </m:r>
                </m:sub>
              </m:sSub>
            </m:oMath>
            <w:r>
              <w:rPr>
                <w:rFonts w:ascii="Times New Roman" w:eastAsiaTheme="minorEastAsia" w:hAnsi="Times New Roman" w:cs="Times New Roman"/>
                <w:sz w:val="20"/>
                <w:szCs w:val="20"/>
              </w:rPr>
              <w:t xml:space="preserve">   </w:t>
            </w:r>
          </w:p>
          <w:p w:rsidR="006F1C86" w:rsidRDefault="006F1C86" w:rsidP="00536F3E">
            <w:pPr>
              <w:rPr>
                <w:rFonts w:ascii="Times New Roman" w:eastAsiaTheme="minorEastAsia" w:hAnsi="Times New Roman" w:cs="Times New Roman"/>
                <w:sz w:val="20"/>
                <w:szCs w:val="20"/>
              </w:rPr>
            </w:pPr>
          </w:p>
          <w:p w:rsidR="006F1C86" w:rsidRPr="001A43BB" w:rsidRDefault="006F1C86"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Where </w:t>
            </w:r>
            <m:oMath>
              <m:acc>
                <m:accPr>
                  <m:chr m:val="̅"/>
                  <m:ctrlPr>
                    <w:rPr>
                      <w:rFonts w:ascii="Cambria Math" w:eastAsiaTheme="minorEastAsia" w:hAnsi="Cambria Math" w:cs="Times New Roman"/>
                      <w:i/>
                      <w:sz w:val="20"/>
                      <w:szCs w:val="20"/>
                    </w:rPr>
                  </m:ctrlPr>
                </m:acc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Lev</m:t>
                      </m:r>
                    </m:e>
                    <m:sub>
                      <m:r>
                        <w:rPr>
                          <w:rFonts w:ascii="Cambria Math" w:eastAsiaTheme="minorEastAsia" w:hAnsi="Cambria Math" w:cs="Times New Roman"/>
                          <w:sz w:val="20"/>
                          <w:szCs w:val="20"/>
                        </w:rPr>
                        <m:t>t</m:t>
                      </m:r>
                    </m:sub>
                  </m:sSub>
                </m:e>
              </m:acc>
            </m:oMath>
            <w:r>
              <w:rPr>
                <w:rFonts w:ascii="Times New Roman" w:eastAsiaTheme="minorEastAsia" w:hAnsi="Times New Roman" w:cs="Times New Roman"/>
                <w:sz w:val="20"/>
                <w:szCs w:val="20"/>
              </w:rPr>
              <w:t xml:space="preserve"> represents the average across time, i.e. </w:t>
            </w:r>
            <m:oMath>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t=1</m:t>
                  </m:r>
                </m:sub>
                <m:sup>
                  <m:r>
                    <w:rPr>
                      <w:rFonts w:ascii="Cambria Math" w:eastAsiaTheme="minorEastAsia" w:hAnsi="Cambria Math" w:cs="Times New Roman"/>
                      <w:sz w:val="20"/>
                      <w:szCs w:val="20"/>
                    </w:rPr>
                    <m:t>T</m:t>
                  </m:r>
                </m:sup>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Lev</m:t>
                          </m:r>
                        </m:e>
                        <m:sub>
                          <m:r>
                            <w:rPr>
                              <w:rFonts w:ascii="Cambria Math" w:eastAsiaTheme="minorEastAsia" w:hAnsi="Cambria Math" w:cs="Times New Roman"/>
                              <w:sz w:val="20"/>
                              <w:szCs w:val="20"/>
                            </w:rPr>
                            <m:t>i,t</m:t>
                          </m:r>
                        </m:sub>
                      </m:sSub>
                    </m:num>
                    <m:den>
                      <m:r>
                        <w:rPr>
                          <w:rFonts w:ascii="Cambria Math" w:eastAsiaTheme="minorEastAsia" w:hAnsi="Cambria Math" w:cs="Times New Roman"/>
                          <w:sz w:val="20"/>
                          <w:szCs w:val="20"/>
                        </w:rPr>
                        <m:t>T</m:t>
                      </m:r>
                    </m:den>
                  </m:f>
                </m:e>
              </m:nary>
            </m:oMath>
            <w:r>
              <w:rPr>
                <w:rFonts w:ascii="Times New Roman" w:eastAsiaTheme="minorEastAsia" w:hAnsi="Times New Roman" w:cs="Times New Roman"/>
                <w:sz w:val="20"/>
                <w:szCs w:val="20"/>
              </w:rPr>
              <w:t>.</w:t>
            </w:r>
          </w:p>
          <w:p w:rsidR="006F1C86" w:rsidRDefault="006F1C86"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dependent variable is the net market value of leverage (</w:t>
            </w:r>
            <w:r w:rsidRPr="006F1C86">
              <w:rPr>
                <w:rFonts w:ascii="Times New Roman" w:eastAsiaTheme="minorEastAsia" w:hAnsi="Times New Roman" w:cs="Times New Roman"/>
                <w:i/>
                <w:sz w:val="20"/>
                <w:szCs w:val="20"/>
              </w:rPr>
              <w:t xml:space="preserve">Net </w:t>
            </w:r>
            <w:r>
              <w:rPr>
                <w:rFonts w:ascii="Times New Roman" w:eastAsiaTheme="minorEastAsia" w:hAnsi="Times New Roman" w:cs="Times New Roman"/>
                <w:i/>
                <w:sz w:val="20"/>
                <w:szCs w:val="20"/>
              </w:rPr>
              <w:t>MV Lev</w:t>
            </w:r>
            <w:r>
              <w:rPr>
                <w:rFonts w:ascii="Times New Roman" w:eastAsiaTheme="minorEastAsia" w:hAnsi="Times New Roman" w:cs="Times New Roman"/>
                <w:sz w:val="20"/>
                <w:szCs w:val="20"/>
              </w:rPr>
              <w:t xml:space="preserve">) for firm </w:t>
            </w:r>
            <w:r>
              <w:rPr>
                <w:rFonts w:ascii="Times New Roman" w:eastAsiaTheme="minorEastAsia" w:hAnsi="Times New Roman" w:cs="Times New Roman"/>
                <w:i/>
                <w:sz w:val="20"/>
                <w:szCs w:val="20"/>
              </w:rPr>
              <w:t xml:space="preserve">i </w:t>
            </w:r>
            <w:r>
              <w:rPr>
                <w:rFonts w:ascii="Times New Roman" w:eastAsiaTheme="minorEastAsia" w:hAnsi="Times New Roman" w:cs="Times New Roman"/>
                <w:sz w:val="20"/>
                <w:szCs w:val="20"/>
              </w:rPr>
              <w:t xml:space="preserve">in year </w:t>
            </w:r>
            <w:r>
              <w:rPr>
                <w:rFonts w:ascii="Times New Roman" w:eastAsiaTheme="minorEastAsia" w:hAnsi="Times New Roman" w:cs="Times New Roman"/>
                <w:i/>
                <w:sz w:val="20"/>
                <w:szCs w:val="20"/>
              </w:rPr>
              <w:t>t</w:t>
            </w:r>
            <w:r>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tax</w:t>
            </w:r>
            <w:r>
              <w:rPr>
                <w:rFonts w:ascii="Times New Roman" w:eastAsiaTheme="minorEastAsia" w:hAnsi="Times New Roman" w:cs="Times New Roman"/>
                <w:sz w:val="20"/>
                <w:szCs w:val="20"/>
              </w:rPr>
              <w:t xml:space="preserve"> is our measure of the tax rate facing each multinational firm. The base case is in Column I and V, Graham’s </w:t>
            </w:r>
            <w:r>
              <w:rPr>
                <w:rFonts w:ascii="Times New Roman" w:eastAsiaTheme="minorEastAsia" w:hAnsi="Times New Roman" w:cs="Times New Roman"/>
                <w:i/>
                <w:sz w:val="20"/>
                <w:szCs w:val="20"/>
              </w:rPr>
              <w:t>mtr</w:t>
            </w:r>
            <w:r>
              <w:rPr>
                <w:rFonts w:ascii="Times New Roman" w:eastAsiaTheme="minorEastAsia" w:hAnsi="Times New Roman" w:cs="Times New Roman"/>
                <w:sz w:val="20"/>
                <w:szCs w:val="20"/>
              </w:rPr>
              <w:t xml:space="preserve"> in Column II and VI, Blouin, Core, and Guay’s </w:t>
            </w:r>
            <w:r>
              <w:rPr>
                <w:rFonts w:ascii="Times New Roman" w:eastAsiaTheme="minorEastAsia" w:hAnsi="Times New Roman" w:cs="Times New Roman"/>
                <w:i/>
                <w:sz w:val="20"/>
                <w:szCs w:val="20"/>
              </w:rPr>
              <w:t>bcg_mtr</w:t>
            </w:r>
            <w:r>
              <w:rPr>
                <w:rFonts w:ascii="Times New Roman" w:eastAsiaTheme="minorEastAsia" w:hAnsi="Times New Roman" w:cs="Times New Roman"/>
                <w:sz w:val="20"/>
                <w:szCs w:val="20"/>
              </w:rPr>
              <w:t xml:space="preserve"> in Column III and VII, and our new measure </w:t>
            </w:r>
            <w:r>
              <w:rPr>
                <w:rFonts w:ascii="Times New Roman" w:eastAsiaTheme="minorEastAsia" w:hAnsi="Times New Roman" w:cs="Times New Roman"/>
                <w:i/>
                <w:sz w:val="20"/>
                <w:szCs w:val="20"/>
              </w:rPr>
              <w:t>firm_efftaxrate</w:t>
            </w:r>
            <w:r>
              <w:rPr>
                <w:rFonts w:ascii="Times New Roman" w:eastAsiaTheme="minorEastAsia" w:hAnsi="Times New Roman" w:cs="Times New Roman"/>
                <w:sz w:val="20"/>
                <w:szCs w:val="20"/>
              </w:rPr>
              <w:t xml:space="preserve"> in Column IV and VIII. The independent variables include lagged sales (</w:t>
            </w:r>
            <w:r>
              <w:rPr>
                <w:rFonts w:ascii="Times New Roman" w:eastAsiaTheme="minorEastAsia" w:hAnsi="Times New Roman" w:cs="Times New Roman"/>
                <w:i/>
                <w:sz w:val="20"/>
                <w:szCs w:val="20"/>
              </w:rPr>
              <w:t>sales</w:t>
            </w:r>
            <w:r w:rsidRPr="006A5C4C">
              <w:rPr>
                <w:rFonts w:ascii="Times New Roman" w:eastAsiaTheme="minorEastAsia" w:hAnsi="Times New Roman" w:cs="Times New Roman"/>
                <w:i/>
                <w:sz w:val="20"/>
                <w:szCs w:val="20"/>
                <w:vertAlign w:val="subscript"/>
              </w:rPr>
              <w:t>i,t-1</w:t>
            </w:r>
            <w:r>
              <w:rPr>
                <w:rFonts w:ascii="Times New Roman" w:eastAsiaTheme="minorEastAsia" w:hAnsi="Times New Roman" w:cs="Times New Roman"/>
                <w:sz w:val="20"/>
                <w:szCs w:val="20"/>
              </w:rPr>
              <w:t>), a dummy variable to indicate if the firm has a credit rating (</w:t>
            </w:r>
            <w:r>
              <w:rPr>
                <w:rFonts w:ascii="Times New Roman" w:eastAsiaTheme="minorEastAsia" w:hAnsi="Times New Roman" w:cs="Times New Roman"/>
                <w:i/>
                <w:sz w:val="20"/>
                <w:szCs w:val="20"/>
              </w:rPr>
              <w:t>rated</w:t>
            </w:r>
            <w:r w:rsidRPr="006A5C4C">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property, plant, and equipment over lagged book assets (</w:t>
            </w:r>
            <w:r>
              <w:rPr>
                <w:rFonts w:ascii="Times New Roman" w:eastAsiaTheme="minorEastAsia" w:hAnsi="Times New Roman" w:cs="Times New Roman"/>
                <w:i/>
                <w:sz w:val="20"/>
                <w:szCs w:val="20"/>
              </w:rPr>
              <w:t>ppeb</w:t>
            </w:r>
            <w:r w:rsidRPr="006A5C4C">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return on assets (</w:t>
            </w:r>
            <w:r>
              <w:rPr>
                <w:rFonts w:ascii="Times New Roman" w:eastAsiaTheme="minorEastAsia" w:hAnsi="Times New Roman" w:cs="Times New Roman"/>
                <w:i/>
                <w:sz w:val="20"/>
                <w:szCs w:val="20"/>
              </w:rPr>
              <w:t>roa</w:t>
            </w:r>
            <w:r w:rsidRPr="007E1C0A">
              <w:rPr>
                <w:rFonts w:ascii="Times New Roman" w:eastAsiaTheme="minorEastAsia" w:hAnsi="Times New Roman" w:cs="Times New Roman"/>
                <w:i/>
                <w:sz w:val="20"/>
                <w:szCs w:val="20"/>
                <w:vertAlign w:val="subscript"/>
              </w:rPr>
              <w:t>i</w:t>
            </w:r>
            <w:r>
              <w:rPr>
                <w:rFonts w:ascii="Times New Roman" w:eastAsiaTheme="minorEastAsia" w:hAnsi="Times New Roman" w:cs="Times New Roman"/>
                <w:i/>
                <w:sz w:val="20"/>
                <w:szCs w:val="20"/>
                <w:vertAlign w:val="subscript"/>
              </w:rPr>
              <w:t>,</w:t>
            </w:r>
            <w:r w:rsidRPr="007E1C0A">
              <w:rPr>
                <w:rFonts w:ascii="Times New Roman" w:eastAsiaTheme="minorEastAsia" w:hAnsi="Times New Roman" w:cs="Times New Roman"/>
                <w:i/>
                <w:sz w:val="20"/>
                <w:szCs w:val="20"/>
                <w:vertAlign w:val="subscript"/>
              </w:rPr>
              <w:t>t</w:t>
            </w:r>
            <w:r>
              <w:rPr>
                <w:rFonts w:ascii="Times New Roman" w:eastAsiaTheme="minorEastAsia" w:hAnsi="Times New Roman" w:cs="Times New Roman"/>
                <w:sz w:val="20"/>
                <w:szCs w:val="20"/>
              </w:rPr>
              <w:t>), a dummy variable set to 1 if the firm pays a dividend (</w:t>
            </w:r>
            <w:r>
              <w:rPr>
                <w:rFonts w:ascii="Times New Roman" w:eastAsiaTheme="minorEastAsia" w:hAnsi="Times New Roman" w:cs="Times New Roman"/>
                <w:i/>
                <w:sz w:val="20"/>
                <w:szCs w:val="20"/>
              </w:rPr>
              <w:t>divs</w:t>
            </w:r>
            <w:r w:rsidRPr="007E1C0A">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research and development expense (</w:t>
            </w:r>
            <w:r>
              <w:rPr>
                <w:rFonts w:ascii="Times New Roman" w:eastAsiaTheme="minorEastAsia" w:hAnsi="Times New Roman" w:cs="Times New Roman"/>
                <w:i/>
                <w:sz w:val="20"/>
                <w:szCs w:val="20"/>
              </w:rPr>
              <w:t>rd</w:t>
            </w:r>
            <w:r w:rsidRPr="007E1C0A">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advertising expense (adv</w:t>
            </w:r>
            <w:r w:rsidRPr="007E1C0A">
              <w:rPr>
                <w:rFonts w:ascii="Times New Roman" w:eastAsiaTheme="minorEastAsia" w:hAnsi="Times New Roman" w:cs="Times New Roman"/>
                <w:sz w:val="20"/>
                <w:szCs w:val="20"/>
                <w:vertAlign w:val="subscript"/>
              </w:rPr>
              <w:t>i,t</w:t>
            </w:r>
            <w:r>
              <w:rPr>
                <w:rFonts w:ascii="Times New Roman" w:eastAsiaTheme="minorEastAsia" w:hAnsi="Times New Roman" w:cs="Times New Roman"/>
                <w:sz w:val="20"/>
                <w:szCs w:val="20"/>
              </w:rPr>
              <w:t>), market-to-book ratio (mb</w:t>
            </w:r>
            <w:r w:rsidRPr="007E1C0A">
              <w:rPr>
                <w:rFonts w:ascii="Times New Roman" w:eastAsiaTheme="minorEastAsia" w:hAnsi="Times New Roman" w:cs="Times New Roman"/>
                <w:sz w:val="20"/>
                <w:szCs w:val="20"/>
                <w:vertAlign w:val="subscript"/>
              </w:rPr>
              <w:t>i,t</w:t>
            </w:r>
            <w:r>
              <w:rPr>
                <w:rFonts w:ascii="Times New Roman" w:eastAsiaTheme="minorEastAsia" w:hAnsi="Times New Roman" w:cs="Times New Roman"/>
                <w:sz w:val="20"/>
                <w:szCs w:val="20"/>
              </w:rPr>
              <w:t xml:space="preserve">), and finally year dummy variables (e.g. </w:t>
            </w:r>
            <w:r>
              <w:rPr>
                <w:rFonts w:ascii="Times New Roman" w:eastAsiaTheme="minorEastAsia" w:hAnsi="Times New Roman" w:cs="Times New Roman"/>
                <w:i/>
                <w:sz w:val="20"/>
                <w:szCs w:val="20"/>
              </w:rPr>
              <w:t>dyear2007</w:t>
            </w:r>
            <w:r>
              <w:rPr>
                <w:rFonts w:ascii="Times New Roman" w:eastAsiaTheme="minorEastAsia" w:hAnsi="Times New Roman" w:cs="Times New Roman"/>
                <w:sz w:val="20"/>
                <w:szCs w:val="20"/>
              </w:rPr>
              <w:t xml:space="preserve">). Standard errors are clustered at the firm level.  Standard errors are reported in parenthesis.             </w:t>
            </w:r>
          </w:p>
          <w:p w:rsidR="006F1C86" w:rsidRDefault="006F1C86" w:rsidP="00536F3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 * represent significance at the one percent, five percent, and ten percent levels, respectively.</w:t>
            </w:r>
          </w:p>
          <w:p w:rsidR="006F1C86"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eastAsiaTheme="minorEastAsia" w:hAnsi="Times New Roman" w:cs="Times New Roman"/>
                <w:sz w:val="20"/>
                <w:szCs w:val="20"/>
              </w:rPr>
            </w:pPr>
          </w:p>
          <w:p w:rsidR="006F1C86" w:rsidRDefault="006F1C86" w:rsidP="00536F3E">
            <w:pPr>
              <w:rPr>
                <w:rFonts w:ascii="Times New Roman" w:hAnsi="Times New Roman" w:cs="Times New Roman"/>
                <w:b/>
                <w:sz w:val="20"/>
                <w:szCs w:val="20"/>
              </w:rPr>
            </w:pPr>
          </w:p>
          <w:p w:rsidR="006F1C86" w:rsidRDefault="006F1C86" w:rsidP="00536F3E">
            <w:pPr>
              <w:rPr>
                <w:rFonts w:ascii="Times New Roman" w:hAnsi="Times New Roman" w:cs="Times New Roman"/>
                <w:b/>
                <w:sz w:val="20"/>
                <w:szCs w:val="20"/>
              </w:rPr>
            </w:pPr>
          </w:p>
          <w:p w:rsidR="006F1C86" w:rsidRPr="00606CEE" w:rsidRDefault="006F1C86" w:rsidP="00536F3E">
            <w:pPr>
              <w:rPr>
                <w:rFonts w:ascii="Times New Roman" w:hAnsi="Times New Roman" w:cs="Times New Roman"/>
                <w:b/>
                <w:sz w:val="20"/>
                <w:szCs w:val="20"/>
              </w:rPr>
            </w:pPr>
          </w:p>
        </w:tc>
      </w:tr>
      <w:tr w:rsidR="006F1C86" w:rsidTr="00536F3E">
        <w:tc>
          <w:tcPr>
            <w:tcW w:w="1789" w:type="dxa"/>
            <w:tcBorders>
              <w:top w:val="single" w:sz="4" w:space="0" w:color="auto"/>
              <w:left w:val="nil"/>
              <w:bottom w:val="single" w:sz="4" w:space="0" w:color="auto"/>
              <w:right w:val="nil"/>
            </w:tcBorders>
          </w:tcPr>
          <w:p w:rsidR="006F1C86" w:rsidRDefault="006F1C86" w:rsidP="00536F3E"/>
        </w:tc>
        <w:tc>
          <w:tcPr>
            <w:tcW w:w="1587" w:type="dxa"/>
            <w:tcBorders>
              <w:top w:val="single" w:sz="4" w:space="0" w:color="auto"/>
              <w:left w:val="nil"/>
              <w:bottom w:val="single" w:sz="4" w:space="0" w:color="auto"/>
              <w:right w:val="nil"/>
            </w:tcBorders>
          </w:tcPr>
          <w:p w:rsidR="006F1C86" w:rsidRDefault="006F1C86" w:rsidP="00536F3E">
            <w:pPr>
              <w:jc w:val="center"/>
            </w:pPr>
            <w:r>
              <w:t>I</w:t>
            </w:r>
          </w:p>
        </w:tc>
        <w:tc>
          <w:tcPr>
            <w:tcW w:w="1587" w:type="dxa"/>
            <w:tcBorders>
              <w:top w:val="single" w:sz="4" w:space="0" w:color="auto"/>
              <w:left w:val="nil"/>
              <w:bottom w:val="single" w:sz="4" w:space="0" w:color="auto"/>
              <w:right w:val="nil"/>
            </w:tcBorders>
          </w:tcPr>
          <w:p w:rsidR="006F1C86" w:rsidRDefault="006F1C86" w:rsidP="00536F3E">
            <w:pPr>
              <w:jc w:val="center"/>
            </w:pPr>
            <w:r>
              <w:t>II</w:t>
            </w:r>
          </w:p>
        </w:tc>
        <w:tc>
          <w:tcPr>
            <w:tcW w:w="1587" w:type="dxa"/>
            <w:tcBorders>
              <w:top w:val="single" w:sz="4" w:space="0" w:color="auto"/>
              <w:left w:val="nil"/>
              <w:bottom w:val="single" w:sz="4" w:space="0" w:color="auto"/>
              <w:right w:val="nil"/>
            </w:tcBorders>
          </w:tcPr>
          <w:p w:rsidR="006F1C86" w:rsidRDefault="006F1C86" w:rsidP="00536F3E">
            <w:pPr>
              <w:jc w:val="center"/>
            </w:pPr>
            <w:r>
              <w:t>III</w:t>
            </w:r>
          </w:p>
        </w:tc>
        <w:tc>
          <w:tcPr>
            <w:tcW w:w="1586" w:type="dxa"/>
            <w:tcBorders>
              <w:top w:val="single" w:sz="4" w:space="0" w:color="auto"/>
              <w:left w:val="nil"/>
              <w:bottom w:val="single" w:sz="4" w:space="0" w:color="auto"/>
              <w:right w:val="nil"/>
            </w:tcBorders>
          </w:tcPr>
          <w:p w:rsidR="006F1C86" w:rsidRDefault="006F1C86" w:rsidP="00536F3E">
            <w:pPr>
              <w:jc w:val="center"/>
            </w:pPr>
            <w:r>
              <w:t>IV</w:t>
            </w:r>
          </w:p>
        </w:tc>
        <w:tc>
          <w:tcPr>
            <w:tcW w:w="1260" w:type="dxa"/>
            <w:tcBorders>
              <w:top w:val="single" w:sz="4" w:space="0" w:color="auto"/>
              <w:left w:val="nil"/>
              <w:bottom w:val="single" w:sz="4" w:space="0" w:color="auto"/>
              <w:right w:val="nil"/>
            </w:tcBorders>
          </w:tcPr>
          <w:p w:rsidR="006F1C86" w:rsidRDefault="006F1C86" w:rsidP="00536F3E">
            <w:pPr>
              <w:jc w:val="center"/>
            </w:pPr>
            <w:r>
              <w:t>V</w:t>
            </w:r>
          </w:p>
        </w:tc>
        <w:tc>
          <w:tcPr>
            <w:tcW w:w="1260" w:type="dxa"/>
            <w:tcBorders>
              <w:top w:val="single" w:sz="4" w:space="0" w:color="auto"/>
              <w:left w:val="nil"/>
              <w:bottom w:val="single" w:sz="4" w:space="0" w:color="auto"/>
              <w:right w:val="nil"/>
            </w:tcBorders>
          </w:tcPr>
          <w:p w:rsidR="006F1C86" w:rsidRDefault="006F1C86" w:rsidP="00536F3E">
            <w:pPr>
              <w:jc w:val="center"/>
            </w:pPr>
            <w:r>
              <w:t>VI</w:t>
            </w:r>
          </w:p>
        </w:tc>
        <w:tc>
          <w:tcPr>
            <w:tcW w:w="1260" w:type="dxa"/>
            <w:tcBorders>
              <w:top w:val="single" w:sz="4" w:space="0" w:color="auto"/>
              <w:left w:val="nil"/>
              <w:bottom w:val="single" w:sz="4" w:space="0" w:color="auto"/>
              <w:right w:val="nil"/>
            </w:tcBorders>
          </w:tcPr>
          <w:p w:rsidR="006F1C86" w:rsidRDefault="006F1C86" w:rsidP="00536F3E">
            <w:pPr>
              <w:jc w:val="center"/>
            </w:pPr>
            <w:r>
              <w:t>VII</w:t>
            </w:r>
          </w:p>
        </w:tc>
        <w:tc>
          <w:tcPr>
            <w:tcW w:w="1260" w:type="dxa"/>
            <w:tcBorders>
              <w:top w:val="single" w:sz="4" w:space="0" w:color="auto"/>
              <w:left w:val="nil"/>
              <w:bottom w:val="single" w:sz="4" w:space="0" w:color="auto"/>
              <w:right w:val="nil"/>
            </w:tcBorders>
          </w:tcPr>
          <w:p w:rsidR="006F1C86" w:rsidRDefault="006F1C86" w:rsidP="00536F3E">
            <w:pPr>
              <w:jc w:val="center"/>
            </w:pPr>
            <w:r>
              <w:t>VIII</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sidRPr="0075597C">
              <w:rPr>
                <w:rFonts w:ascii="Times New Roman" w:hAnsi="Times New Roman" w:cs="Times New Roman"/>
                <w:i/>
                <w:sz w:val="20"/>
                <w:szCs w:val="20"/>
              </w:rPr>
              <w:t>Mtr</w:t>
            </w:r>
            <w:r w:rsidRPr="0075597C">
              <w:rPr>
                <w:rFonts w:ascii="Times New Roman" w:hAnsi="Times New Roman" w:cs="Times New Roman"/>
                <w:i/>
                <w:sz w:val="20"/>
                <w:szCs w:val="20"/>
                <w:vertAlign w:val="subscript"/>
              </w:rPr>
              <w:t>i,t</w:t>
            </w:r>
          </w:p>
          <w:p w:rsidR="006F1C86" w:rsidRPr="0075597C"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-0.0714</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(0.0576</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6"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-0.0846</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(0.0846</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Bcg_mtr</w:t>
            </w:r>
            <w:r w:rsidRPr="00AB0CE3">
              <w:rPr>
                <w:rFonts w:ascii="Times New Roman" w:hAnsi="Times New Roman" w:cs="Times New Roman"/>
                <w:i/>
                <w:sz w:val="20"/>
                <w:szCs w:val="20"/>
                <w:vertAlign w:val="subscript"/>
              </w:rPr>
              <w:t>i,t</w:t>
            </w:r>
          </w:p>
          <w:p w:rsidR="006F1C86" w:rsidRPr="0075597C"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Default="00657927" w:rsidP="00536F3E">
            <w:pPr>
              <w:jc w:val="center"/>
              <w:rPr>
                <w:rFonts w:ascii="Times New Roman" w:hAnsi="Times New Roman" w:cs="Times New Roman"/>
                <w:sz w:val="20"/>
                <w:szCs w:val="20"/>
              </w:rPr>
            </w:pPr>
            <w:r>
              <w:rPr>
                <w:rFonts w:ascii="Times New Roman" w:hAnsi="Times New Roman" w:cs="Times New Roman"/>
                <w:sz w:val="20"/>
                <w:szCs w:val="20"/>
              </w:rPr>
              <w:t>0.2204</w:t>
            </w:r>
            <w:r w:rsidR="006F1C86">
              <w:rPr>
                <w:rFonts w:ascii="Times New Roman" w:hAnsi="Times New Roman" w:cs="Times New Roman"/>
                <w:sz w:val="20"/>
                <w:szCs w:val="20"/>
              </w:rPr>
              <w:t>*</w:t>
            </w:r>
          </w:p>
          <w:p w:rsidR="006F1C86" w:rsidRPr="00954DE4" w:rsidRDefault="00657927"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(0.1213</w:t>
            </w:r>
            <w:r w:rsidR="006F1C86" w:rsidRPr="00954DE4">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0.3432</w:t>
            </w:r>
            <w:r w:rsidR="006F1C86">
              <w:rPr>
                <w:rFonts w:ascii="Times New Roman" w:hAnsi="Times New Roman" w:cs="Times New Roman"/>
                <w:sz w:val="20"/>
                <w:szCs w:val="20"/>
              </w:rPr>
              <w:t>***</w:t>
            </w:r>
          </w:p>
          <w:p w:rsidR="006F1C86" w:rsidRPr="00954DE4"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(0.1115</w:t>
            </w:r>
            <w:r w:rsidR="006F1C86" w:rsidRPr="00954DE4">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Firm_efftaxrate</w:t>
            </w:r>
            <w:r w:rsidRPr="00AB0CE3">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6" w:type="dxa"/>
            <w:tcBorders>
              <w:top w:val="nil"/>
              <w:left w:val="nil"/>
              <w:bottom w:val="nil"/>
              <w:right w:val="nil"/>
            </w:tcBorders>
          </w:tcPr>
          <w:p w:rsidR="006F1C86" w:rsidRDefault="000A6DBD" w:rsidP="00536F3E">
            <w:pPr>
              <w:jc w:val="center"/>
              <w:rPr>
                <w:rFonts w:ascii="Times New Roman" w:hAnsi="Times New Roman" w:cs="Times New Roman"/>
                <w:sz w:val="20"/>
                <w:szCs w:val="20"/>
              </w:rPr>
            </w:pPr>
            <w:r>
              <w:rPr>
                <w:rFonts w:ascii="Times New Roman" w:hAnsi="Times New Roman" w:cs="Times New Roman"/>
                <w:sz w:val="20"/>
                <w:szCs w:val="20"/>
              </w:rPr>
              <w:t>0.3339***</w:t>
            </w:r>
          </w:p>
          <w:p w:rsidR="006F1C86" w:rsidRPr="00D02300" w:rsidRDefault="000A6DBD"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(0.0949</w:t>
            </w:r>
            <w:r w:rsidR="006F1C86" w:rsidRPr="00D02300">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0.7887*</w:t>
            </w:r>
            <w:r w:rsidR="006F1C86">
              <w:rPr>
                <w:rFonts w:ascii="Times New Roman" w:hAnsi="Times New Roman" w:cs="Times New Roman"/>
                <w:sz w:val="20"/>
                <w:szCs w:val="20"/>
              </w:rPr>
              <w:t>**</w:t>
            </w:r>
          </w:p>
          <w:p w:rsidR="006F1C86" w:rsidRPr="00D02300"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(0.1305</w:t>
            </w:r>
            <w:r w:rsidR="006F1C86" w:rsidRPr="00D02300">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Sales</w:t>
            </w:r>
            <w:r w:rsidRPr="009A001F">
              <w:rPr>
                <w:rFonts w:ascii="Times New Roman" w:hAnsi="Times New Roman" w:cs="Times New Roman"/>
                <w:i/>
                <w:sz w:val="20"/>
                <w:szCs w:val="20"/>
                <w:vertAlign w:val="subscript"/>
              </w:rPr>
              <w:t>i,t-1</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0.0065</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(0.0047</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0.0074</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(0.0047</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657927" w:rsidP="00536F3E">
            <w:pPr>
              <w:jc w:val="center"/>
              <w:rPr>
                <w:rFonts w:ascii="Times New Roman" w:hAnsi="Times New Roman" w:cs="Times New Roman"/>
                <w:sz w:val="20"/>
                <w:szCs w:val="20"/>
              </w:rPr>
            </w:pPr>
            <w:r>
              <w:rPr>
                <w:rFonts w:ascii="Times New Roman" w:hAnsi="Times New Roman" w:cs="Times New Roman"/>
                <w:sz w:val="20"/>
                <w:szCs w:val="20"/>
              </w:rPr>
              <w:t>0.0038</w:t>
            </w:r>
          </w:p>
          <w:p w:rsidR="006F1C86" w:rsidRPr="00AB0CE3" w:rsidRDefault="00657927"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(0.0047</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0A6DBD" w:rsidP="00536F3E">
            <w:pPr>
              <w:jc w:val="center"/>
              <w:rPr>
                <w:rFonts w:ascii="Times New Roman" w:hAnsi="Times New Roman" w:cs="Times New Roman"/>
                <w:sz w:val="20"/>
                <w:szCs w:val="20"/>
              </w:rPr>
            </w:pPr>
            <w:r>
              <w:rPr>
                <w:rFonts w:ascii="Times New Roman" w:hAnsi="Times New Roman" w:cs="Times New Roman"/>
                <w:sz w:val="20"/>
                <w:szCs w:val="20"/>
              </w:rPr>
              <w:t>0.0090*</w:t>
            </w:r>
          </w:p>
          <w:p w:rsidR="006F1C86" w:rsidRPr="00AB0CE3" w:rsidRDefault="000A6DBD"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(0.0047</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0.0044</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(0.0053</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0.0056</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(0.0054</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-0.0010</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(0.0055</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0.0095*</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(0.0053</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Rated</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6F1C86" w:rsidP="00536F3E">
            <w:pPr>
              <w:jc w:val="center"/>
              <w:rPr>
                <w:rFonts w:ascii="Times New Roman" w:hAnsi="Times New Roman" w:cs="Times New Roman"/>
                <w:sz w:val="20"/>
                <w:szCs w:val="20"/>
              </w:rPr>
            </w:pPr>
            <w:r>
              <w:rPr>
                <w:rFonts w:ascii="Times New Roman" w:hAnsi="Times New Roman" w:cs="Times New Roman"/>
                <w:sz w:val="20"/>
                <w:szCs w:val="20"/>
              </w:rPr>
              <w:t>0.</w:t>
            </w:r>
            <w:r w:rsidR="00213A58">
              <w:rPr>
                <w:rFonts w:ascii="Times New Roman" w:hAnsi="Times New Roman" w:cs="Times New Roman"/>
                <w:sz w:val="20"/>
                <w:szCs w:val="20"/>
              </w:rPr>
              <w:t>1431</w:t>
            </w:r>
            <w:r w:rsidRPr="00954DE4">
              <w:rPr>
                <w:rFonts w:ascii="Times New Roman" w:hAnsi="Times New Roman" w:cs="Times New Roman"/>
                <w:sz w:val="20"/>
                <w:szCs w:val="20"/>
              </w:rPr>
              <w:t>***</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(0.0149</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0.1427</w:t>
            </w:r>
            <w:r w:rsidR="006F1C86">
              <w:rPr>
                <w:rFonts w:ascii="Times New Roman" w:hAnsi="Times New Roman" w:cs="Times New Roman"/>
                <w:sz w:val="20"/>
                <w:szCs w:val="20"/>
              </w:rPr>
              <w:t>***</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(0.0149</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657927" w:rsidP="00536F3E">
            <w:pPr>
              <w:jc w:val="center"/>
              <w:rPr>
                <w:rFonts w:ascii="Times New Roman" w:hAnsi="Times New Roman" w:cs="Times New Roman"/>
                <w:sz w:val="20"/>
                <w:szCs w:val="20"/>
              </w:rPr>
            </w:pPr>
            <w:r>
              <w:rPr>
                <w:rFonts w:ascii="Times New Roman" w:hAnsi="Times New Roman" w:cs="Times New Roman"/>
                <w:sz w:val="20"/>
                <w:szCs w:val="20"/>
              </w:rPr>
              <w:t>0.1429</w:t>
            </w:r>
            <w:r w:rsidR="006F1C86">
              <w:rPr>
                <w:rFonts w:ascii="Times New Roman" w:hAnsi="Times New Roman" w:cs="Times New Roman"/>
                <w:sz w:val="20"/>
                <w:szCs w:val="20"/>
              </w:rPr>
              <w:t>***</w:t>
            </w:r>
          </w:p>
          <w:p w:rsidR="006F1C86" w:rsidRPr="00AB0CE3" w:rsidRDefault="00657927"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(0.0148</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0A6DBD" w:rsidP="00536F3E">
            <w:pPr>
              <w:jc w:val="center"/>
              <w:rPr>
                <w:rFonts w:ascii="Times New Roman" w:hAnsi="Times New Roman" w:cs="Times New Roman"/>
                <w:sz w:val="20"/>
                <w:szCs w:val="20"/>
              </w:rPr>
            </w:pPr>
            <w:r>
              <w:rPr>
                <w:rFonts w:ascii="Times New Roman" w:hAnsi="Times New Roman" w:cs="Times New Roman"/>
                <w:sz w:val="20"/>
                <w:szCs w:val="20"/>
              </w:rPr>
              <w:t>0.1421</w:t>
            </w:r>
            <w:r w:rsidR="006F1C86">
              <w:rPr>
                <w:rFonts w:ascii="Times New Roman" w:hAnsi="Times New Roman" w:cs="Times New Roman"/>
                <w:sz w:val="20"/>
                <w:szCs w:val="20"/>
              </w:rPr>
              <w:t>***</w:t>
            </w:r>
          </w:p>
          <w:p w:rsidR="006F1C86" w:rsidRPr="00AB0CE3" w:rsidRDefault="000A6DBD"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(0.0148</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0.1703</w:t>
            </w:r>
            <w:r w:rsidR="006F1C86" w:rsidRPr="00954DE4">
              <w:rPr>
                <w:rFonts w:ascii="Times New Roman" w:hAnsi="Times New Roman" w:cs="Times New Roman"/>
                <w:sz w:val="20"/>
                <w:szCs w:val="20"/>
              </w:rPr>
              <w:t>***</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(0.0238</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0.1697</w:t>
            </w:r>
            <w:r w:rsidR="006F1C86">
              <w:rPr>
                <w:rFonts w:ascii="Times New Roman" w:hAnsi="Times New Roman" w:cs="Times New Roman"/>
                <w:sz w:val="20"/>
                <w:szCs w:val="20"/>
              </w:rPr>
              <w:t>***</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(0.0238</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0.1718</w:t>
            </w:r>
            <w:r w:rsidR="006F1C86">
              <w:rPr>
                <w:rFonts w:ascii="Times New Roman" w:hAnsi="Times New Roman" w:cs="Times New Roman"/>
                <w:sz w:val="20"/>
                <w:szCs w:val="20"/>
              </w:rPr>
              <w:t>***</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(0.0237</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0.1742*</w:t>
            </w:r>
            <w:r w:rsidR="006F1C86">
              <w:rPr>
                <w:rFonts w:ascii="Times New Roman" w:hAnsi="Times New Roman" w:cs="Times New Roman"/>
                <w:sz w:val="20"/>
                <w:szCs w:val="20"/>
              </w:rPr>
              <w:t>**</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(0.0235</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Ppeb</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0.3298</w:t>
            </w:r>
            <w:r w:rsidR="006F1C86" w:rsidRPr="00954DE4">
              <w:rPr>
                <w:rFonts w:ascii="Times New Roman" w:hAnsi="Times New Roman" w:cs="Times New Roman"/>
                <w:sz w:val="20"/>
                <w:szCs w:val="20"/>
              </w:rPr>
              <w:t>***</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(0.0332</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0.3263</w:t>
            </w:r>
            <w:r w:rsidR="006F1C86">
              <w:rPr>
                <w:rFonts w:ascii="Times New Roman" w:hAnsi="Times New Roman" w:cs="Times New Roman"/>
                <w:sz w:val="20"/>
                <w:szCs w:val="20"/>
              </w:rPr>
              <w:t>***</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(0.0333</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657927" w:rsidP="00536F3E">
            <w:pPr>
              <w:jc w:val="center"/>
              <w:rPr>
                <w:rFonts w:ascii="Times New Roman" w:hAnsi="Times New Roman" w:cs="Times New Roman"/>
                <w:sz w:val="20"/>
                <w:szCs w:val="20"/>
              </w:rPr>
            </w:pPr>
            <w:r>
              <w:rPr>
                <w:rFonts w:ascii="Times New Roman" w:hAnsi="Times New Roman" w:cs="Times New Roman"/>
                <w:sz w:val="20"/>
                <w:szCs w:val="20"/>
              </w:rPr>
              <w:t>0.3349</w:t>
            </w:r>
            <w:r w:rsidR="006F1C86">
              <w:rPr>
                <w:rFonts w:ascii="Times New Roman" w:hAnsi="Times New Roman" w:cs="Times New Roman"/>
                <w:sz w:val="20"/>
                <w:szCs w:val="20"/>
              </w:rPr>
              <w:t>***</w:t>
            </w:r>
          </w:p>
          <w:p w:rsidR="006F1C86" w:rsidRPr="00AB0CE3" w:rsidRDefault="00657927"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(0.0332</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0A6DBD" w:rsidP="00536F3E">
            <w:pPr>
              <w:jc w:val="center"/>
              <w:rPr>
                <w:rFonts w:ascii="Times New Roman" w:hAnsi="Times New Roman" w:cs="Times New Roman"/>
                <w:sz w:val="20"/>
                <w:szCs w:val="20"/>
              </w:rPr>
            </w:pPr>
            <w:r>
              <w:rPr>
                <w:rFonts w:ascii="Times New Roman" w:hAnsi="Times New Roman" w:cs="Times New Roman"/>
                <w:sz w:val="20"/>
                <w:szCs w:val="20"/>
              </w:rPr>
              <w:t>0.3246</w:t>
            </w:r>
            <w:r w:rsidR="006F1C86">
              <w:rPr>
                <w:rFonts w:ascii="Times New Roman" w:hAnsi="Times New Roman" w:cs="Times New Roman"/>
                <w:sz w:val="20"/>
                <w:szCs w:val="20"/>
              </w:rPr>
              <w:t>***</w:t>
            </w:r>
          </w:p>
          <w:p w:rsidR="006F1C86" w:rsidRPr="00AB0CE3" w:rsidRDefault="000A6DBD"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(0.0331</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0.4443</w:t>
            </w:r>
            <w:r w:rsidR="006F1C86" w:rsidRPr="00954DE4">
              <w:rPr>
                <w:rFonts w:ascii="Times New Roman" w:hAnsi="Times New Roman" w:cs="Times New Roman"/>
                <w:sz w:val="20"/>
                <w:szCs w:val="20"/>
              </w:rPr>
              <w:t>***</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(0.0420</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6F1C86" w:rsidP="00536F3E">
            <w:pPr>
              <w:jc w:val="center"/>
              <w:rPr>
                <w:rFonts w:ascii="Times New Roman" w:hAnsi="Times New Roman" w:cs="Times New Roman"/>
                <w:sz w:val="20"/>
                <w:szCs w:val="20"/>
              </w:rPr>
            </w:pPr>
            <w:r>
              <w:rPr>
                <w:rFonts w:ascii="Times New Roman" w:hAnsi="Times New Roman" w:cs="Times New Roman"/>
                <w:sz w:val="20"/>
                <w:szCs w:val="20"/>
              </w:rPr>
              <w:t>0.</w:t>
            </w:r>
            <w:r w:rsidR="00376632">
              <w:rPr>
                <w:rFonts w:ascii="Times New Roman" w:hAnsi="Times New Roman" w:cs="Times New Roman"/>
                <w:sz w:val="20"/>
                <w:szCs w:val="20"/>
              </w:rPr>
              <w:t>4396</w:t>
            </w:r>
            <w:r>
              <w:rPr>
                <w:rFonts w:ascii="Times New Roman" w:hAnsi="Times New Roman" w:cs="Times New Roman"/>
                <w:sz w:val="20"/>
                <w:szCs w:val="20"/>
              </w:rPr>
              <w:t>***</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(0.0423</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0.4480</w:t>
            </w:r>
            <w:r w:rsidR="006F1C86">
              <w:rPr>
                <w:rFonts w:ascii="Times New Roman" w:hAnsi="Times New Roman" w:cs="Times New Roman"/>
                <w:sz w:val="20"/>
                <w:szCs w:val="20"/>
              </w:rPr>
              <w:t>***</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(0.0419</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0.4280</w:t>
            </w:r>
            <w:r w:rsidR="006F1C86">
              <w:rPr>
                <w:rFonts w:ascii="Times New Roman" w:hAnsi="Times New Roman" w:cs="Times New Roman"/>
                <w:sz w:val="20"/>
                <w:szCs w:val="20"/>
              </w:rPr>
              <w:t>***</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(0.0415</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Roa</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-0.1875</w:t>
            </w:r>
            <w:r w:rsidR="006F1C86" w:rsidRPr="00954DE4">
              <w:rPr>
                <w:rFonts w:ascii="Times New Roman" w:hAnsi="Times New Roman" w:cs="Times New Roman"/>
                <w:sz w:val="20"/>
                <w:szCs w:val="20"/>
              </w:rPr>
              <w:t>*</w:t>
            </w:r>
            <w:r w:rsidR="006F1C86">
              <w:rPr>
                <w:rFonts w:ascii="Times New Roman" w:hAnsi="Times New Roman" w:cs="Times New Roman"/>
                <w:sz w:val="20"/>
                <w:szCs w:val="20"/>
              </w:rPr>
              <w:t>**</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(0.0677</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-0.1673</w:t>
            </w:r>
            <w:r w:rsidR="006F1C86">
              <w:rPr>
                <w:rFonts w:ascii="Times New Roman" w:hAnsi="Times New Roman" w:cs="Times New Roman"/>
                <w:sz w:val="20"/>
                <w:szCs w:val="20"/>
              </w:rPr>
              <w:t>**</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(0.0690</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657927" w:rsidP="00536F3E">
            <w:pPr>
              <w:jc w:val="center"/>
              <w:rPr>
                <w:rFonts w:ascii="Times New Roman" w:hAnsi="Times New Roman" w:cs="Times New Roman"/>
                <w:sz w:val="20"/>
                <w:szCs w:val="20"/>
              </w:rPr>
            </w:pPr>
            <w:r>
              <w:rPr>
                <w:rFonts w:ascii="Times New Roman" w:hAnsi="Times New Roman" w:cs="Times New Roman"/>
                <w:sz w:val="20"/>
                <w:szCs w:val="20"/>
              </w:rPr>
              <w:t>-0.2427</w:t>
            </w:r>
            <w:r w:rsidR="006F1C86">
              <w:rPr>
                <w:rFonts w:ascii="Times New Roman" w:hAnsi="Times New Roman" w:cs="Times New Roman"/>
                <w:sz w:val="20"/>
                <w:szCs w:val="20"/>
              </w:rPr>
              <w:t>***</w:t>
            </w:r>
          </w:p>
          <w:p w:rsidR="006F1C86" w:rsidRPr="00AB0CE3" w:rsidRDefault="00657927"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(0.0714</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0A6DBD" w:rsidP="00536F3E">
            <w:pPr>
              <w:jc w:val="center"/>
              <w:rPr>
                <w:rFonts w:ascii="Times New Roman" w:hAnsi="Times New Roman" w:cs="Times New Roman"/>
                <w:sz w:val="20"/>
                <w:szCs w:val="20"/>
              </w:rPr>
            </w:pPr>
            <w:r>
              <w:rPr>
                <w:rFonts w:ascii="Times New Roman" w:hAnsi="Times New Roman" w:cs="Times New Roman"/>
                <w:sz w:val="20"/>
                <w:szCs w:val="20"/>
              </w:rPr>
              <w:t>-0.2033</w:t>
            </w:r>
            <w:r w:rsidR="006F1C86">
              <w:rPr>
                <w:rFonts w:ascii="Times New Roman" w:hAnsi="Times New Roman" w:cs="Times New Roman"/>
                <w:sz w:val="20"/>
                <w:szCs w:val="20"/>
              </w:rPr>
              <w:t>***</w:t>
            </w:r>
          </w:p>
          <w:p w:rsidR="006F1C86" w:rsidRPr="00AB0CE3" w:rsidRDefault="000A6DBD"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(0.0670</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-0.1227</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(0.0750</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-0.0984</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(0.0791</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-0.2153</w:t>
            </w:r>
            <w:r w:rsidR="006F1C86">
              <w:rPr>
                <w:rFonts w:ascii="Times New Roman" w:hAnsi="Times New Roman" w:cs="Times New Roman"/>
                <w:sz w:val="20"/>
                <w:szCs w:val="20"/>
              </w:rPr>
              <w:t>***</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(0.0805</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-0.1607</w:t>
            </w:r>
            <w:r w:rsidR="006F1C86">
              <w:rPr>
                <w:rFonts w:ascii="Times New Roman" w:hAnsi="Times New Roman" w:cs="Times New Roman"/>
                <w:sz w:val="20"/>
                <w:szCs w:val="20"/>
              </w:rPr>
              <w:t>**</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(0.0741</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Divs</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0.0046</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(0.0128</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0.0071</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(0.0128</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657927" w:rsidP="00536F3E">
            <w:pPr>
              <w:jc w:val="center"/>
              <w:rPr>
                <w:rFonts w:ascii="Times New Roman" w:hAnsi="Times New Roman" w:cs="Times New Roman"/>
                <w:sz w:val="20"/>
                <w:szCs w:val="20"/>
              </w:rPr>
            </w:pPr>
            <w:r>
              <w:rPr>
                <w:rFonts w:ascii="Times New Roman" w:hAnsi="Times New Roman" w:cs="Times New Roman"/>
                <w:sz w:val="20"/>
                <w:szCs w:val="20"/>
              </w:rPr>
              <w:t>0.0009</w:t>
            </w:r>
            <w:r w:rsidR="006F1C86">
              <w:rPr>
                <w:rFonts w:ascii="Times New Roman" w:hAnsi="Times New Roman" w:cs="Times New Roman"/>
                <w:sz w:val="20"/>
                <w:szCs w:val="20"/>
              </w:rPr>
              <w:t>***</w:t>
            </w:r>
          </w:p>
          <w:p w:rsidR="006F1C86" w:rsidRPr="00AB0CE3" w:rsidRDefault="00657927"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(0.0128</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0A6DBD" w:rsidP="00536F3E">
            <w:pPr>
              <w:jc w:val="center"/>
              <w:rPr>
                <w:rFonts w:ascii="Times New Roman" w:hAnsi="Times New Roman" w:cs="Times New Roman"/>
                <w:sz w:val="20"/>
                <w:szCs w:val="20"/>
              </w:rPr>
            </w:pPr>
            <w:r>
              <w:rPr>
                <w:rFonts w:ascii="Times New Roman" w:hAnsi="Times New Roman" w:cs="Times New Roman"/>
                <w:sz w:val="20"/>
                <w:szCs w:val="20"/>
              </w:rPr>
              <w:t>0.0021</w:t>
            </w:r>
          </w:p>
          <w:p w:rsidR="006F1C86" w:rsidRPr="00AB0CE3" w:rsidRDefault="000A6DBD"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(0.0127</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0.0021</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(0.0169</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0.0050</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(0.0172</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-0.0064</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(0.0171</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-0.0070</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(0.0167</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Rd</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-0.1121*</w:t>
            </w:r>
            <w:r w:rsidR="006F1C86">
              <w:rPr>
                <w:rFonts w:ascii="Times New Roman" w:hAnsi="Times New Roman" w:cs="Times New Roman"/>
                <w:sz w:val="20"/>
                <w:szCs w:val="20"/>
              </w:rPr>
              <w:t>**</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(0.0421</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-0.1145</w:t>
            </w:r>
            <w:r w:rsidR="006F1C86">
              <w:rPr>
                <w:rFonts w:ascii="Times New Roman" w:hAnsi="Times New Roman" w:cs="Times New Roman"/>
                <w:sz w:val="20"/>
                <w:szCs w:val="20"/>
              </w:rPr>
              <w:t>***</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(0.0426</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657927" w:rsidP="00536F3E">
            <w:pPr>
              <w:jc w:val="center"/>
              <w:rPr>
                <w:rFonts w:ascii="Times New Roman" w:hAnsi="Times New Roman" w:cs="Times New Roman"/>
                <w:sz w:val="20"/>
                <w:szCs w:val="20"/>
              </w:rPr>
            </w:pPr>
            <w:r>
              <w:rPr>
                <w:rFonts w:ascii="Times New Roman" w:hAnsi="Times New Roman" w:cs="Times New Roman"/>
                <w:sz w:val="20"/>
                <w:szCs w:val="20"/>
              </w:rPr>
              <w:t>-0.1069</w:t>
            </w:r>
            <w:r w:rsidR="006F1C86">
              <w:rPr>
                <w:rFonts w:ascii="Times New Roman" w:hAnsi="Times New Roman" w:cs="Times New Roman"/>
                <w:sz w:val="20"/>
                <w:szCs w:val="20"/>
              </w:rPr>
              <w:t>***</w:t>
            </w:r>
          </w:p>
          <w:p w:rsidR="006F1C86" w:rsidRPr="00AB0CE3" w:rsidRDefault="00657927"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(0.0412</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0A6DBD" w:rsidP="00536F3E">
            <w:pPr>
              <w:jc w:val="center"/>
              <w:rPr>
                <w:rFonts w:ascii="Times New Roman" w:hAnsi="Times New Roman" w:cs="Times New Roman"/>
                <w:sz w:val="20"/>
                <w:szCs w:val="20"/>
              </w:rPr>
            </w:pPr>
            <w:r>
              <w:rPr>
                <w:rFonts w:ascii="Times New Roman" w:hAnsi="Times New Roman" w:cs="Times New Roman"/>
                <w:sz w:val="20"/>
                <w:szCs w:val="20"/>
              </w:rPr>
              <w:t>-0.1083</w:t>
            </w:r>
            <w:r w:rsidR="006F1C86">
              <w:rPr>
                <w:rFonts w:ascii="Times New Roman" w:hAnsi="Times New Roman" w:cs="Times New Roman"/>
                <w:sz w:val="20"/>
                <w:szCs w:val="20"/>
              </w:rPr>
              <w:t>**</w:t>
            </w:r>
          </w:p>
          <w:p w:rsidR="006F1C86" w:rsidRPr="00AB0CE3" w:rsidRDefault="000A6DBD"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(0.0401</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-0.1093</w:t>
            </w:r>
            <w:r w:rsidR="006F1C86">
              <w:rPr>
                <w:rFonts w:ascii="Times New Roman" w:hAnsi="Times New Roman" w:cs="Times New Roman"/>
                <w:sz w:val="20"/>
                <w:szCs w:val="20"/>
              </w:rPr>
              <w:t>**</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(0.0395</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-0.1117*</w:t>
            </w:r>
            <w:r w:rsidR="006F1C86">
              <w:rPr>
                <w:rFonts w:ascii="Times New Roman" w:hAnsi="Times New Roman" w:cs="Times New Roman"/>
                <w:sz w:val="20"/>
                <w:szCs w:val="20"/>
              </w:rPr>
              <w:t>**</w:t>
            </w:r>
          </w:p>
          <w:p w:rsidR="006F1C86" w:rsidRPr="00AB0CE3" w:rsidRDefault="006F1C8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w:t>
            </w:r>
            <w:r w:rsidR="00376632">
              <w:rPr>
                <w:rFonts w:ascii="Times New Roman" w:hAnsi="Times New Roman" w:cs="Times New Roman"/>
                <w:sz w:val="28"/>
                <w:szCs w:val="20"/>
                <w:vertAlign w:val="superscript"/>
              </w:rPr>
              <w:t>0395</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-0.1050*</w:t>
            </w:r>
            <w:r w:rsidR="006F1C86">
              <w:rPr>
                <w:rFonts w:ascii="Times New Roman" w:hAnsi="Times New Roman" w:cs="Times New Roman"/>
                <w:sz w:val="20"/>
                <w:szCs w:val="20"/>
              </w:rPr>
              <w:t>**</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(0.393</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-0.1038*</w:t>
            </w:r>
            <w:r w:rsidR="006F1C86">
              <w:rPr>
                <w:rFonts w:ascii="Times New Roman" w:hAnsi="Times New Roman" w:cs="Times New Roman"/>
                <w:sz w:val="20"/>
                <w:szCs w:val="20"/>
              </w:rPr>
              <w:t>**</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(0.0389</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Adv</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0.0700</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(0.2083</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0.0727</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(0.2084</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657927" w:rsidP="00536F3E">
            <w:pPr>
              <w:jc w:val="center"/>
              <w:rPr>
                <w:rFonts w:ascii="Times New Roman" w:hAnsi="Times New Roman" w:cs="Times New Roman"/>
                <w:sz w:val="20"/>
                <w:szCs w:val="20"/>
              </w:rPr>
            </w:pPr>
            <w:r>
              <w:rPr>
                <w:rFonts w:ascii="Times New Roman" w:hAnsi="Times New Roman" w:cs="Times New Roman"/>
                <w:sz w:val="20"/>
                <w:szCs w:val="20"/>
              </w:rPr>
              <w:t>0.0788</w:t>
            </w:r>
          </w:p>
          <w:p w:rsidR="006F1C86" w:rsidRPr="00AB0CE3" w:rsidRDefault="00657927"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(0.2053</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0A6DBD" w:rsidP="00536F3E">
            <w:pPr>
              <w:jc w:val="center"/>
              <w:rPr>
                <w:rFonts w:ascii="Times New Roman" w:hAnsi="Times New Roman" w:cs="Times New Roman"/>
                <w:sz w:val="20"/>
                <w:szCs w:val="20"/>
              </w:rPr>
            </w:pPr>
            <w:r>
              <w:rPr>
                <w:rFonts w:ascii="Times New Roman" w:hAnsi="Times New Roman" w:cs="Times New Roman"/>
                <w:sz w:val="20"/>
                <w:szCs w:val="20"/>
              </w:rPr>
              <w:t>0.0941</w:t>
            </w:r>
          </w:p>
          <w:p w:rsidR="006F1C86" w:rsidRPr="00AB0CE3" w:rsidRDefault="000A6DBD"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(0.2118</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-0.0418</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(0.2771</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-0.0335</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(0.2772</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-0.0394</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(0.2761</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-0.0242</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(0.2731</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vertAlign w:val="subscript"/>
              </w:rPr>
            </w:pPr>
            <w:r>
              <w:rPr>
                <w:rFonts w:ascii="Times New Roman" w:hAnsi="Times New Roman" w:cs="Times New Roman"/>
                <w:i/>
                <w:sz w:val="20"/>
                <w:szCs w:val="20"/>
              </w:rPr>
              <w:t>Mb</w:t>
            </w:r>
            <w:r w:rsidRPr="009A001F">
              <w:rPr>
                <w:rFonts w:ascii="Times New Roman" w:hAnsi="Times New Roman" w:cs="Times New Roman"/>
                <w:i/>
                <w:sz w:val="20"/>
                <w:szCs w:val="20"/>
                <w:vertAlign w:val="subscript"/>
              </w:rPr>
              <w:t>i,t</w:t>
            </w:r>
          </w:p>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-0.0285</w:t>
            </w:r>
            <w:r w:rsidR="006F1C86">
              <w:rPr>
                <w:rFonts w:ascii="Times New Roman" w:hAnsi="Times New Roman" w:cs="Times New Roman"/>
                <w:sz w:val="20"/>
                <w:szCs w:val="20"/>
              </w:rPr>
              <w:t>***</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(0.0072</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213A58" w:rsidP="00536F3E">
            <w:pPr>
              <w:jc w:val="center"/>
              <w:rPr>
                <w:rFonts w:ascii="Times New Roman" w:hAnsi="Times New Roman" w:cs="Times New Roman"/>
                <w:sz w:val="20"/>
                <w:szCs w:val="20"/>
              </w:rPr>
            </w:pPr>
            <w:r>
              <w:rPr>
                <w:rFonts w:ascii="Times New Roman" w:hAnsi="Times New Roman" w:cs="Times New Roman"/>
                <w:sz w:val="20"/>
                <w:szCs w:val="20"/>
              </w:rPr>
              <w:t>-0.0288</w:t>
            </w:r>
            <w:r w:rsidR="006F1C86">
              <w:rPr>
                <w:rFonts w:ascii="Times New Roman" w:hAnsi="Times New Roman" w:cs="Times New Roman"/>
                <w:sz w:val="20"/>
                <w:szCs w:val="20"/>
              </w:rPr>
              <w:t>***</w:t>
            </w:r>
          </w:p>
          <w:p w:rsidR="006F1C86" w:rsidRPr="00AB0CE3" w:rsidRDefault="00213A58"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(0.0072</w:t>
            </w:r>
            <w:r w:rsidR="006F1C86"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6F1C86" w:rsidRDefault="00657927" w:rsidP="00536F3E">
            <w:pPr>
              <w:jc w:val="center"/>
              <w:rPr>
                <w:rFonts w:ascii="Times New Roman" w:hAnsi="Times New Roman" w:cs="Times New Roman"/>
                <w:sz w:val="20"/>
                <w:szCs w:val="20"/>
              </w:rPr>
            </w:pPr>
            <w:r>
              <w:rPr>
                <w:rFonts w:ascii="Times New Roman" w:hAnsi="Times New Roman" w:cs="Times New Roman"/>
                <w:sz w:val="20"/>
                <w:szCs w:val="20"/>
              </w:rPr>
              <w:t>-0.0263</w:t>
            </w:r>
            <w:r w:rsidR="006F1C86">
              <w:rPr>
                <w:rFonts w:ascii="Times New Roman" w:hAnsi="Times New Roman" w:cs="Times New Roman"/>
                <w:sz w:val="20"/>
                <w:szCs w:val="20"/>
              </w:rPr>
              <w:t>***</w:t>
            </w:r>
          </w:p>
          <w:p w:rsidR="006F1C86" w:rsidRPr="00AB0CE3" w:rsidRDefault="00657927"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(0.0071</w:t>
            </w:r>
            <w:r w:rsidR="006F1C86"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6F1C86" w:rsidRDefault="000A6DBD" w:rsidP="00536F3E">
            <w:pPr>
              <w:jc w:val="center"/>
              <w:rPr>
                <w:rFonts w:ascii="Times New Roman" w:hAnsi="Times New Roman" w:cs="Times New Roman"/>
                <w:sz w:val="20"/>
                <w:szCs w:val="20"/>
              </w:rPr>
            </w:pPr>
            <w:r>
              <w:rPr>
                <w:rFonts w:ascii="Times New Roman" w:hAnsi="Times New Roman" w:cs="Times New Roman"/>
                <w:sz w:val="20"/>
                <w:szCs w:val="20"/>
              </w:rPr>
              <w:t>-0.0276</w:t>
            </w:r>
            <w:r w:rsidR="006F1C86">
              <w:rPr>
                <w:rFonts w:ascii="Times New Roman" w:hAnsi="Times New Roman" w:cs="Times New Roman"/>
                <w:sz w:val="20"/>
                <w:szCs w:val="20"/>
              </w:rPr>
              <w:t>***</w:t>
            </w:r>
          </w:p>
          <w:p w:rsidR="006F1C86" w:rsidRPr="00AB0CE3" w:rsidRDefault="000A6DBD"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(0.0071</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-0.0185</w:t>
            </w:r>
            <w:r w:rsidR="006F1C86">
              <w:rPr>
                <w:rFonts w:ascii="Times New Roman" w:hAnsi="Times New Roman" w:cs="Times New Roman"/>
                <w:sz w:val="20"/>
                <w:szCs w:val="20"/>
              </w:rPr>
              <w:t>**</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(0.0086</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376632" w:rsidP="00536F3E">
            <w:pPr>
              <w:jc w:val="center"/>
              <w:rPr>
                <w:rFonts w:ascii="Times New Roman" w:hAnsi="Times New Roman" w:cs="Times New Roman"/>
                <w:sz w:val="20"/>
                <w:szCs w:val="20"/>
              </w:rPr>
            </w:pPr>
            <w:r>
              <w:rPr>
                <w:rFonts w:ascii="Times New Roman" w:hAnsi="Times New Roman" w:cs="Times New Roman"/>
                <w:sz w:val="20"/>
                <w:szCs w:val="20"/>
              </w:rPr>
              <w:t>-0.0185</w:t>
            </w:r>
            <w:r w:rsidR="006F1C86">
              <w:rPr>
                <w:rFonts w:ascii="Times New Roman" w:hAnsi="Times New Roman" w:cs="Times New Roman"/>
                <w:sz w:val="20"/>
                <w:szCs w:val="20"/>
              </w:rPr>
              <w:t>**</w:t>
            </w:r>
          </w:p>
          <w:p w:rsidR="006F1C86" w:rsidRPr="00AB0CE3" w:rsidRDefault="00376632"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(0.0086</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-0.0159</w:t>
            </w:r>
            <w:r w:rsidR="006F1C86">
              <w:rPr>
                <w:rFonts w:ascii="Times New Roman" w:hAnsi="Times New Roman" w:cs="Times New Roman"/>
                <w:sz w:val="20"/>
                <w:szCs w:val="20"/>
              </w:rPr>
              <w:t>*</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(0.0086</w:t>
            </w:r>
            <w:r w:rsidR="006F1C86"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6F1C86" w:rsidRDefault="00A775F6" w:rsidP="00536F3E">
            <w:pPr>
              <w:jc w:val="center"/>
              <w:rPr>
                <w:rFonts w:ascii="Times New Roman" w:hAnsi="Times New Roman" w:cs="Times New Roman"/>
                <w:sz w:val="20"/>
                <w:szCs w:val="20"/>
              </w:rPr>
            </w:pPr>
            <w:r>
              <w:rPr>
                <w:rFonts w:ascii="Times New Roman" w:hAnsi="Times New Roman" w:cs="Times New Roman"/>
                <w:sz w:val="20"/>
                <w:szCs w:val="20"/>
              </w:rPr>
              <w:t>-0.0163</w:t>
            </w:r>
            <w:r w:rsidR="006F1C86">
              <w:rPr>
                <w:rFonts w:ascii="Times New Roman" w:hAnsi="Times New Roman" w:cs="Times New Roman"/>
                <w:sz w:val="20"/>
                <w:szCs w:val="20"/>
              </w:rPr>
              <w:t>*</w:t>
            </w:r>
          </w:p>
          <w:p w:rsidR="006F1C86" w:rsidRPr="00AB0CE3" w:rsidRDefault="00A775F6" w:rsidP="00536F3E">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(0.0085</w:t>
            </w:r>
            <w:r w:rsidR="006F1C86" w:rsidRPr="00AB0CE3">
              <w:rPr>
                <w:rFonts w:ascii="Times New Roman" w:hAnsi="Times New Roman" w:cs="Times New Roman"/>
                <w:sz w:val="28"/>
                <w:szCs w:val="20"/>
                <w:vertAlign w:val="superscript"/>
              </w:rPr>
              <w:t>)</w:t>
            </w:r>
          </w:p>
        </w:tc>
      </w:tr>
      <w:tr w:rsidR="006F1C86" w:rsidTr="00536F3E">
        <w:tc>
          <w:tcPr>
            <w:tcW w:w="1789" w:type="dxa"/>
            <w:tcBorders>
              <w:top w:val="nil"/>
              <w:left w:val="nil"/>
              <w:bottom w:val="nil"/>
              <w:right w:val="nil"/>
            </w:tcBorders>
          </w:tcPr>
          <w:p w:rsidR="006F1C86" w:rsidRDefault="006F1C86" w:rsidP="00536F3E">
            <w:pPr>
              <w:rPr>
                <w:rFonts w:ascii="Times New Roman" w:hAnsi="Times New Roman" w:cs="Times New Roman"/>
                <w:i/>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586"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p>
        </w:tc>
      </w:tr>
      <w:tr w:rsidR="006F1C86" w:rsidTr="00536F3E">
        <w:tc>
          <w:tcPr>
            <w:tcW w:w="1789" w:type="dxa"/>
            <w:tcBorders>
              <w:top w:val="nil"/>
              <w:left w:val="nil"/>
              <w:bottom w:val="nil"/>
              <w:right w:val="nil"/>
            </w:tcBorders>
          </w:tcPr>
          <w:p w:rsidR="006F1C86" w:rsidRPr="00954DE4" w:rsidRDefault="006F1C86" w:rsidP="00536F3E">
            <w:pPr>
              <w:rPr>
                <w:rFonts w:ascii="Times New Roman" w:hAnsi="Times New Roman" w:cs="Times New Roman"/>
                <w:sz w:val="20"/>
                <w:szCs w:val="20"/>
              </w:rPr>
            </w:pPr>
            <w:r>
              <w:rPr>
                <w:rFonts w:ascii="Times New Roman" w:hAnsi="Times New Roman" w:cs="Times New Roman"/>
                <w:sz w:val="20"/>
                <w:szCs w:val="20"/>
              </w:rPr>
              <w:t>N</w:t>
            </w: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587"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586"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5116</w:t>
            </w:r>
          </w:p>
        </w:tc>
        <w:tc>
          <w:tcPr>
            <w:tcW w:w="1260" w:type="dxa"/>
            <w:tcBorders>
              <w:top w:val="nil"/>
              <w:left w:val="nil"/>
              <w:bottom w:val="nil"/>
              <w:right w:val="nil"/>
            </w:tcBorders>
          </w:tcPr>
          <w:p w:rsidR="006F1C86" w:rsidRPr="0075597C" w:rsidRDefault="006F1C86" w:rsidP="00536F3E">
            <w:pPr>
              <w:jc w:val="center"/>
              <w:rPr>
                <w:rFonts w:ascii="Times New Roman" w:hAnsi="Times New Roman" w:cs="Times New Roman"/>
                <w:sz w:val="20"/>
                <w:szCs w:val="20"/>
              </w:rPr>
            </w:pPr>
            <w:r>
              <w:rPr>
                <w:rFonts w:ascii="Times New Roman" w:hAnsi="Times New Roman" w:cs="Times New Roman"/>
                <w:sz w:val="20"/>
                <w:szCs w:val="20"/>
              </w:rPr>
              <w:t>5116</w:t>
            </w:r>
          </w:p>
        </w:tc>
      </w:tr>
      <w:tr w:rsidR="006F1C86" w:rsidTr="00536F3E">
        <w:tc>
          <w:tcPr>
            <w:tcW w:w="1789" w:type="dxa"/>
            <w:tcBorders>
              <w:top w:val="nil"/>
              <w:left w:val="nil"/>
              <w:right w:val="nil"/>
            </w:tcBorders>
          </w:tcPr>
          <w:p w:rsidR="006F1C86" w:rsidRPr="009A001F" w:rsidRDefault="006F1C86" w:rsidP="00536F3E">
            <w:pPr>
              <w:rPr>
                <w:rFonts w:ascii="Times New Roman" w:hAnsi="Times New Roman" w:cs="Times New Roman"/>
                <w:sz w:val="20"/>
                <w:szCs w:val="20"/>
              </w:rPr>
            </w:pPr>
            <w:r>
              <w:rPr>
                <w:rFonts w:ascii="Times New Roman" w:hAnsi="Times New Roman" w:cs="Times New Roman"/>
                <w:sz w:val="20"/>
                <w:szCs w:val="20"/>
              </w:rPr>
              <w:t>R</w:t>
            </w:r>
            <w:r w:rsidRPr="009A001F">
              <w:rPr>
                <w:rFonts w:ascii="Times New Roman" w:hAnsi="Times New Roman" w:cs="Times New Roman"/>
                <w:sz w:val="20"/>
                <w:szCs w:val="20"/>
                <w:vertAlign w:val="superscript"/>
              </w:rPr>
              <w:t>2</w:t>
            </w:r>
          </w:p>
        </w:tc>
        <w:tc>
          <w:tcPr>
            <w:tcW w:w="1587" w:type="dxa"/>
            <w:tcBorders>
              <w:top w:val="nil"/>
              <w:left w:val="nil"/>
              <w:right w:val="nil"/>
            </w:tcBorders>
          </w:tcPr>
          <w:p w:rsidR="006F1C86" w:rsidRPr="0075597C" w:rsidRDefault="00213A58" w:rsidP="00536F3E">
            <w:pPr>
              <w:jc w:val="center"/>
              <w:rPr>
                <w:rFonts w:ascii="Times New Roman" w:hAnsi="Times New Roman" w:cs="Times New Roman"/>
                <w:sz w:val="20"/>
                <w:szCs w:val="20"/>
              </w:rPr>
            </w:pPr>
            <w:r>
              <w:rPr>
                <w:rFonts w:ascii="Times New Roman" w:hAnsi="Times New Roman" w:cs="Times New Roman"/>
                <w:sz w:val="20"/>
                <w:szCs w:val="20"/>
              </w:rPr>
              <w:t>0.2030</w:t>
            </w:r>
          </w:p>
        </w:tc>
        <w:tc>
          <w:tcPr>
            <w:tcW w:w="1587" w:type="dxa"/>
            <w:tcBorders>
              <w:top w:val="nil"/>
              <w:left w:val="nil"/>
              <w:right w:val="nil"/>
            </w:tcBorders>
          </w:tcPr>
          <w:p w:rsidR="006F1C86" w:rsidRPr="0075597C" w:rsidRDefault="00213A58" w:rsidP="00536F3E">
            <w:pPr>
              <w:jc w:val="center"/>
              <w:rPr>
                <w:rFonts w:ascii="Times New Roman" w:hAnsi="Times New Roman" w:cs="Times New Roman"/>
                <w:sz w:val="20"/>
                <w:szCs w:val="20"/>
              </w:rPr>
            </w:pPr>
            <w:r>
              <w:rPr>
                <w:rFonts w:ascii="Times New Roman" w:hAnsi="Times New Roman" w:cs="Times New Roman"/>
                <w:sz w:val="20"/>
                <w:szCs w:val="20"/>
              </w:rPr>
              <w:t>0.2037</w:t>
            </w:r>
          </w:p>
        </w:tc>
        <w:tc>
          <w:tcPr>
            <w:tcW w:w="1587" w:type="dxa"/>
            <w:tcBorders>
              <w:top w:val="nil"/>
              <w:left w:val="nil"/>
              <w:right w:val="nil"/>
            </w:tcBorders>
          </w:tcPr>
          <w:p w:rsidR="006F1C86" w:rsidRPr="0075597C" w:rsidRDefault="00213A58" w:rsidP="00536F3E">
            <w:pPr>
              <w:jc w:val="center"/>
              <w:rPr>
                <w:rFonts w:ascii="Times New Roman" w:hAnsi="Times New Roman" w:cs="Times New Roman"/>
                <w:sz w:val="20"/>
                <w:szCs w:val="20"/>
              </w:rPr>
            </w:pPr>
            <w:r>
              <w:rPr>
                <w:rFonts w:ascii="Times New Roman" w:hAnsi="Times New Roman" w:cs="Times New Roman"/>
                <w:sz w:val="20"/>
                <w:szCs w:val="20"/>
              </w:rPr>
              <w:t>0.2053</w:t>
            </w:r>
          </w:p>
        </w:tc>
        <w:tc>
          <w:tcPr>
            <w:tcW w:w="1586" w:type="dxa"/>
            <w:tcBorders>
              <w:top w:val="nil"/>
              <w:left w:val="nil"/>
              <w:right w:val="nil"/>
            </w:tcBorders>
          </w:tcPr>
          <w:p w:rsidR="006F1C86" w:rsidRPr="0075597C" w:rsidRDefault="00213A58" w:rsidP="00536F3E">
            <w:pPr>
              <w:jc w:val="center"/>
              <w:rPr>
                <w:rFonts w:ascii="Times New Roman" w:hAnsi="Times New Roman" w:cs="Times New Roman"/>
                <w:sz w:val="20"/>
                <w:szCs w:val="20"/>
              </w:rPr>
            </w:pPr>
            <w:r>
              <w:rPr>
                <w:rFonts w:ascii="Times New Roman" w:hAnsi="Times New Roman" w:cs="Times New Roman"/>
                <w:sz w:val="20"/>
                <w:szCs w:val="20"/>
              </w:rPr>
              <w:t>0.2085</w:t>
            </w:r>
          </w:p>
        </w:tc>
        <w:tc>
          <w:tcPr>
            <w:tcW w:w="1260" w:type="dxa"/>
            <w:tcBorders>
              <w:top w:val="nil"/>
              <w:left w:val="nil"/>
              <w:right w:val="nil"/>
            </w:tcBorders>
          </w:tcPr>
          <w:p w:rsidR="006F1C86" w:rsidRPr="0075597C" w:rsidRDefault="00213A58" w:rsidP="00536F3E">
            <w:pPr>
              <w:jc w:val="center"/>
              <w:rPr>
                <w:rFonts w:ascii="Times New Roman" w:hAnsi="Times New Roman" w:cs="Times New Roman"/>
                <w:sz w:val="20"/>
                <w:szCs w:val="20"/>
              </w:rPr>
            </w:pPr>
            <w:r>
              <w:rPr>
                <w:rFonts w:ascii="Times New Roman" w:hAnsi="Times New Roman" w:cs="Times New Roman"/>
                <w:sz w:val="20"/>
                <w:szCs w:val="20"/>
              </w:rPr>
              <w:t>0.2096</w:t>
            </w:r>
          </w:p>
        </w:tc>
        <w:tc>
          <w:tcPr>
            <w:tcW w:w="1260" w:type="dxa"/>
            <w:tcBorders>
              <w:top w:val="nil"/>
              <w:left w:val="nil"/>
              <w:right w:val="nil"/>
            </w:tcBorders>
          </w:tcPr>
          <w:p w:rsidR="006F1C86" w:rsidRPr="0075597C" w:rsidRDefault="00213A58" w:rsidP="00536F3E">
            <w:pPr>
              <w:jc w:val="center"/>
              <w:rPr>
                <w:rFonts w:ascii="Times New Roman" w:hAnsi="Times New Roman" w:cs="Times New Roman"/>
                <w:sz w:val="20"/>
                <w:szCs w:val="20"/>
              </w:rPr>
            </w:pPr>
            <w:r>
              <w:rPr>
                <w:rFonts w:ascii="Times New Roman" w:hAnsi="Times New Roman" w:cs="Times New Roman"/>
                <w:sz w:val="20"/>
                <w:szCs w:val="20"/>
              </w:rPr>
              <w:t>0.2102</w:t>
            </w:r>
          </w:p>
        </w:tc>
        <w:tc>
          <w:tcPr>
            <w:tcW w:w="1260" w:type="dxa"/>
            <w:tcBorders>
              <w:top w:val="nil"/>
              <w:left w:val="nil"/>
              <w:right w:val="nil"/>
            </w:tcBorders>
          </w:tcPr>
          <w:p w:rsidR="006F1C86" w:rsidRPr="0075597C" w:rsidRDefault="00213A58" w:rsidP="00536F3E">
            <w:pPr>
              <w:jc w:val="center"/>
              <w:rPr>
                <w:rFonts w:ascii="Times New Roman" w:hAnsi="Times New Roman" w:cs="Times New Roman"/>
                <w:sz w:val="20"/>
                <w:szCs w:val="20"/>
              </w:rPr>
            </w:pPr>
            <w:r>
              <w:rPr>
                <w:rFonts w:ascii="Times New Roman" w:hAnsi="Times New Roman" w:cs="Times New Roman"/>
                <w:sz w:val="20"/>
                <w:szCs w:val="20"/>
              </w:rPr>
              <w:t>0.2158</w:t>
            </w:r>
          </w:p>
        </w:tc>
        <w:tc>
          <w:tcPr>
            <w:tcW w:w="1260" w:type="dxa"/>
            <w:tcBorders>
              <w:top w:val="nil"/>
              <w:left w:val="nil"/>
              <w:right w:val="nil"/>
            </w:tcBorders>
          </w:tcPr>
          <w:p w:rsidR="006F1C86" w:rsidRPr="0075597C" w:rsidRDefault="00213A58" w:rsidP="00536F3E">
            <w:pPr>
              <w:jc w:val="center"/>
              <w:rPr>
                <w:rFonts w:ascii="Times New Roman" w:hAnsi="Times New Roman" w:cs="Times New Roman"/>
                <w:sz w:val="20"/>
                <w:szCs w:val="20"/>
              </w:rPr>
            </w:pPr>
            <w:r>
              <w:rPr>
                <w:rFonts w:ascii="Times New Roman" w:hAnsi="Times New Roman" w:cs="Times New Roman"/>
                <w:sz w:val="20"/>
                <w:szCs w:val="20"/>
              </w:rPr>
              <w:t>0.2330</w:t>
            </w:r>
          </w:p>
        </w:tc>
      </w:tr>
    </w:tbl>
    <w:p w:rsidR="006F1C86" w:rsidRDefault="006F1C86"/>
    <w:p w:rsidR="009276A5" w:rsidRDefault="009276A5"/>
    <w:p w:rsidR="009276A5" w:rsidRDefault="009276A5"/>
    <w:p w:rsidR="009276A5" w:rsidRDefault="009276A5"/>
    <w:p w:rsidR="009276A5" w:rsidRDefault="009276A5" w:rsidP="009276A5"/>
    <w:p w:rsidR="009276A5" w:rsidRDefault="009276A5" w:rsidP="009276A5"/>
    <w:p w:rsidR="009276A5" w:rsidRDefault="009276A5" w:rsidP="009276A5"/>
    <w:p w:rsidR="009276A5" w:rsidRDefault="009276A5" w:rsidP="009276A5"/>
    <w:p w:rsidR="009276A5" w:rsidRDefault="009276A5" w:rsidP="009276A5"/>
    <w:p w:rsidR="009276A5" w:rsidRDefault="009276A5" w:rsidP="009276A5"/>
    <w:tbl>
      <w:tblPr>
        <w:tblStyle w:val="TableGrid"/>
        <w:tblW w:w="0" w:type="auto"/>
        <w:tblLook w:val="04A0" w:firstRow="1" w:lastRow="0" w:firstColumn="1" w:lastColumn="0" w:noHBand="0" w:noVBand="1"/>
      </w:tblPr>
      <w:tblGrid>
        <w:gridCol w:w="1789"/>
        <w:gridCol w:w="1587"/>
        <w:gridCol w:w="1587"/>
        <w:gridCol w:w="1587"/>
        <w:gridCol w:w="1586"/>
        <w:gridCol w:w="1260"/>
        <w:gridCol w:w="1260"/>
        <w:gridCol w:w="1260"/>
        <w:gridCol w:w="1260"/>
      </w:tblGrid>
      <w:tr w:rsidR="009276A5" w:rsidTr="008136EA">
        <w:tc>
          <w:tcPr>
            <w:tcW w:w="13176" w:type="dxa"/>
            <w:gridSpan w:val="9"/>
            <w:tcBorders>
              <w:top w:val="nil"/>
              <w:left w:val="nil"/>
              <w:bottom w:val="nil"/>
              <w:right w:val="nil"/>
            </w:tcBorders>
          </w:tcPr>
          <w:p w:rsidR="009276A5" w:rsidRPr="00606CEE" w:rsidRDefault="009276A5" w:rsidP="008136EA">
            <w:pPr>
              <w:rPr>
                <w:rFonts w:ascii="Times New Roman" w:hAnsi="Times New Roman" w:cs="Times New Roman"/>
                <w:b/>
                <w:sz w:val="20"/>
                <w:szCs w:val="20"/>
              </w:rPr>
            </w:pPr>
            <w:r>
              <w:rPr>
                <w:rFonts w:ascii="Times New Roman" w:hAnsi="Times New Roman" w:cs="Times New Roman"/>
                <w:b/>
                <w:sz w:val="20"/>
                <w:szCs w:val="20"/>
              </w:rPr>
              <w:t>Table 6</w:t>
            </w:r>
          </w:p>
          <w:p w:rsidR="009276A5" w:rsidRPr="00606CEE" w:rsidRDefault="009276A5" w:rsidP="008136EA">
            <w:pPr>
              <w:rPr>
                <w:rFonts w:ascii="Times New Roman" w:hAnsi="Times New Roman" w:cs="Times New Roman"/>
                <w:b/>
                <w:sz w:val="20"/>
                <w:szCs w:val="20"/>
              </w:rPr>
            </w:pPr>
            <w:r>
              <w:rPr>
                <w:rFonts w:ascii="Times New Roman" w:hAnsi="Times New Roman" w:cs="Times New Roman"/>
                <w:b/>
                <w:sz w:val="20"/>
                <w:szCs w:val="20"/>
              </w:rPr>
              <w:t>Interest Coverage</w:t>
            </w:r>
            <w:r w:rsidRPr="00606CEE">
              <w:rPr>
                <w:rFonts w:ascii="Times New Roman" w:hAnsi="Times New Roman" w:cs="Times New Roman"/>
                <w:b/>
                <w:sz w:val="20"/>
                <w:szCs w:val="20"/>
              </w:rPr>
              <w:t xml:space="preserve"> Regressions</w:t>
            </w:r>
          </w:p>
          <w:p w:rsidR="009276A5" w:rsidRDefault="009276A5" w:rsidP="008136EA">
            <w:pPr>
              <w:rPr>
                <w:rFonts w:ascii="Times New Roman" w:hAnsi="Times New Roman" w:cs="Times New Roman"/>
                <w:sz w:val="20"/>
                <w:szCs w:val="20"/>
              </w:rPr>
            </w:pPr>
            <w:r w:rsidRPr="008D5EED">
              <w:rPr>
                <w:rFonts w:ascii="Times New Roman" w:hAnsi="Times New Roman" w:cs="Times New Roman"/>
                <w:sz w:val="20"/>
                <w:szCs w:val="20"/>
              </w:rPr>
              <w:t>The table reports the results from estima</w:t>
            </w:r>
            <w:r>
              <w:rPr>
                <w:rFonts w:ascii="Times New Roman" w:hAnsi="Times New Roman" w:cs="Times New Roman"/>
                <w:sz w:val="20"/>
                <w:szCs w:val="20"/>
              </w:rPr>
              <w:t>ting the following OLS equation in columns I-IV:</w:t>
            </w:r>
          </w:p>
          <w:p w:rsidR="009276A5" w:rsidRPr="0067227A" w:rsidRDefault="009276A5" w:rsidP="008136EA">
            <w:pPr>
              <w:rPr>
                <w:rFonts w:ascii="Times New Roman" w:eastAsiaTheme="minorEastAsia" w:hAnsi="Times New Roman" w:cs="Times New Roman"/>
                <w:sz w:val="20"/>
                <w:szCs w:val="20"/>
              </w:rPr>
            </w:pPr>
          </w:p>
          <w:p w:rsidR="009276A5" w:rsidRDefault="009276A5" w:rsidP="008136EA">
            <w:pPr>
              <w:rPr>
                <w:rFonts w:ascii="Times New Roman" w:eastAsiaTheme="minorEastAsia" w:hAnsi="Times New Roman" w:cs="Times New Roman"/>
                <w:sz w:val="20"/>
                <w:szCs w:val="20"/>
              </w:rPr>
            </w:pP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tax+</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r>
                <w:rPr>
                  <w:rFonts w:ascii="Cambria Math" w:hAnsi="Cambria Math" w:cs="Times New Roman"/>
                  <w:sz w:val="20"/>
                  <w:szCs w:val="20"/>
                </w:rPr>
                <m:t>sale</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ed</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r>
                <w:rPr>
                  <w:rFonts w:ascii="Cambria Math" w:hAnsi="Cambria Math" w:cs="Times New Roman"/>
                  <w:sz w:val="20"/>
                  <w:szCs w:val="20"/>
                </w:rPr>
                <m:t>ppe</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r>
                <w:rPr>
                  <w:rFonts w:ascii="Cambria Math" w:hAnsi="Cambria Math" w:cs="Times New Roman"/>
                  <w:sz w:val="20"/>
                  <w:szCs w:val="20"/>
                </w:rPr>
                <m:t>ro</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6</m:t>
                  </m:r>
                </m:sub>
              </m:sSub>
              <m:r>
                <w:rPr>
                  <w:rFonts w:ascii="Cambria Math" w:hAnsi="Cambria Math" w:cs="Times New Roman"/>
                  <w:sz w:val="20"/>
                  <w:szCs w:val="20"/>
                </w:rPr>
                <m:t>div</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7</m:t>
                  </m:r>
                </m:sub>
              </m:sSub>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8</m:t>
                  </m:r>
                </m:sub>
              </m:sSub>
              <m:r>
                <w:rPr>
                  <w:rFonts w:ascii="Cambria Math" w:hAnsi="Cambria Math" w:cs="Times New Roman"/>
                  <w:sz w:val="20"/>
                  <w:szCs w:val="20"/>
                </w:rPr>
                <m:t>ad</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9</m:t>
                  </m:r>
                </m:sub>
              </m:sSub>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10</m:t>
                  </m:r>
                </m:sub>
              </m:sSub>
              <m:r>
                <w:rPr>
                  <w:rFonts w:ascii="Cambria Math" w:hAnsi="Cambria Math" w:cs="Times New Roman"/>
                  <w:sz w:val="20"/>
                  <w:szCs w:val="20"/>
                </w:rPr>
                <m:t xml:space="preserve">dyear2003+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11</m:t>
                  </m:r>
                </m:sub>
              </m:sSub>
              <m:r>
                <w:rPr>
                  <w:rFonts w:ascii="Cambria Math" w:hAnsi="Cambria Math" w:cs="Times New Roman"/>
                  <w:sz w:val="20"/>
                  <w:szCs w:val="20"/>
                </w:rPr>
                <m:t xml:space="preserve">dyear2004+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12</m:t>
                  </m:r>
                </m:sub>
              </m:sSub>
              <m:r>
                <w:rPr>
                  <w:rFonts w:ascii="Cambria Math" w:hAnsi="Cambria Math" w:cs="Times New Roman"/>
                  <w:sz w:val="20"/>
                  <w:szCs w:val="20"/>
                </w:rPr>
                <m:t xml:space="preserve">dyear2005+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13</m:t>
                  </m:r>
                </m:sub>
              </m:sSub>
              <m:r>
                <w:rPr>
                  <w:rFonts w:ascii="Cambria Math" w:hAnsi="Cambria Math" w:cs="Times New Roman"/>
                  <w:sz w:val="20"/>
                  <w:szCs w:val="20"/>
                </w:rPr>
                <m:t xml:space="preserve">dyear2006+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14</m:t>
                  </m:r>
                </m:sub>
              </m:sSub>
              <m:r>
                <w:rPr>
                  <w:rFonts w:ascii="Cambria Math" w:hAnsi="Cambria Math" w:cs="Times New Roman"/>
                  <w:sz w:val="20"/>
                  <w:szCs w:val="20"/>
                </w:rPr>
                <m:t xml:space="preserve">dyear2007+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15</m:t>
                  </m:r>
                </m:sub>
              </m:sSub>
              <m:r>
                <w:rPr>
                  <w:rFonts w:ascii="Cambria Math" w:hAnsi="Cambria Math" w:cs="Times New Roman"/>
                  <w:sz w:val="20"/>
                  <w:szCs w:val="20"/>
                </w:rPr>
                <m:t>dyear2008+</m:t>
              </m:r>
              <m:sSub>
                <m:sSubPr>
                  <m:ctrlPr>
                    <w:rPr>
                      <w:rFonts w:ascii="Cambria Math" w:hAnsi="Cambria Math" w:cs="Times New Roman"/>
                      <w:i/>
                      <w:sz w:val="20"/>
                      <w:szCs w:val="20"/>
                    </w:rPr>
                  </m:ctrlPr>
                </m:sSubPr>
                <m:e>
                  <m:r>
                    <w:rPr>
                      <w:rFonts w:ascii="Cambria Math" w:hAnsi="Cambria Math" w:cs="Times New Roman"/>
                      <w:sz w:val="20"/>
                      <w:szCs w:val="20"/>
                    </w:rPr>
                    <m:t>ϵ</m:t>
                  </m:r>
                </m:e>
                <m:sub>
                  <m:r>
                    <w:rPr>
                      <w:rFonts w:ascii="Cambria Math" w:hAnsi="Cambria Math" w:cs="Times New Roman"/>
                      <w:sz w:val="20"/>
                      <w:szCs w:val="20"/>
                    </w:rPr>
                    <m:t>i,t</m:t>
                  </m:r>
                </m:sub>
              </m:sSub>
            </m:oMath>
            <w:r>
              <w:rPr>
                <w:rFonts w:ascii="Times New Roman" w:eastAsiaTheme="minorEastAsia" w:hAnsi="Times New Roman" w:cs="Times New Roman"/>
                <w:sz w:val="20"/>
                <w:szCs w:val="20"/>
              </w:rPr>
              <w:t xml:space="preserve">   </w:t>
            </w:r>
          </w:p>
          <w:p w:rsidR="009276A5" w:rsidRDefault="009276A5" w:rsidP="008136EA">
            <w:pPr>
              <w:rPr>
                <w:rFonts w:ascii="Times New Roman" w:eastAsiaTheme="minorEastAsia" w:hAnsi="Times New Roman" w:cs="Times New Roman"/>
                <w:sz w:val="20"/>
                <w:szCs w:val="20"/>
              </w:rPr>
            </w:pPr>
          </w:p>
          <w:p w:rsidR="009276A5" w:rsidRDefault="009276A5" w:rsidP="008136EA">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Columns V-VIII report the results from estimation using between effects which is the OLS estimator applied to the following time-averaged equation:</w:t>
            </w:r>
          </w:p>
          <w:p w:rsidR="009276A5" w:rsidRDefault="009276A5" w:rsidP="008136EA">
            <w:pPr>
              <w:rPr>
                <w:rFonts w:ascii="Times New Roman" w:eastAsiaTheme="minorEastAsia" w:hAnsi="Times New Roman" w:cs="Times New Roman"/>
                <w:sz w:val="20"/>
                <w:szCs w:val="20"/>
              </w:rPr>
            </w:pPr>
          </w:p>
          <w:p w:rsidR="009276A5" w:rsidRDefault="009276A5" w:rsidP="008136EA">
            <w:pPr>
              <w:rPr>
                <w:rFonts w:ascii="Times New Roman" w:eastAsiaTheme="minorEastAsia" w:hAnsi="Times New Roman" w:cs="Times New Roman"/>
                <w:sz w:val="20"/>
                <w:szCs w:val="20"/>
              </w:rPr>
            </w:pPr>
            <m:oMath>
              <m:r>
                <w:rPr>
                  <w:rFonts w:ascii="Cambria Math" w:hAnsi="Cambria Math" w:cs="Times New Roman"/>
                  <w:sz w:val="20"/>
                  <w:szCs w:val="20"/>
                </w:rPr>
                <m:t xml:space="preserve">        Net MV </m:t>
              </m:r>
              <m:acc>
                <m:accPr>
                  <m:chr m:val="̅"/>
                  <m:ctrlPr>
                    <w:rPr>
                      <w:rFonts w:ascii="Cambria Math" w:hAnsi="Cambria Math" w:cs="Times New Roman"/>
                      <w:i/>
                      <w:sz w:val="20"/>
                      <w:szCs w:val="20"/>
                    </w:rPr>
                  </m:ctrlPr>
                </m:accPr>
                <m:e>
                  <m:r>
                    <w:rPr>
                      <w:rFonts w:ascii="Cambria Math" w:hAnsi="Cambria Math" w:cs="Times New Roman"/>
                      <w:sz w:val="20"/>
                      <w:szCs w:val="20"/>
                    </w:rPr>
                    <m:t>IntCo</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tax+</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acc>
                <m:accPr>
                  <m:chr m:val="̅"/>
                  <m:ctrlPr>
                    <w:rPr>
                      <w:rFonts w:ascii="Cambria Math" w:hAnsi="Cambria Math" w:cs="Times New Roman"/>
                      <w:i/>
                      <w:sz w:val="20"/>
                      <w:szCs w:val="20"/>
                    </w:rPr>
                  </m:ctrlPr>
                </m:accPr>
                <m:e>
                  <m:r>
                    <w:rPr>
                      <w:rFonts w:ascii="Cambria Math" w:hAnsi="Cambria Math" w:cs="Times New Roman"/>
                      <w:sz w:val="20"/>
                      <w:szCs w:val="20"/>
                    </w:rPr>
                    <m:t>sale</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acc>
                <m:accPr>
                  <m:chr m:val="̅"/>
                  <m:ctrlPr>
                    <w:rPr>
                      <w:rFonts w:ascii="Cambria Math" w:hAnsi="Cambria Math" w:cs="Times New Roman"/>
                      <w:i/>
                      <w:sz w:val="20"/>
                      <w:szCs w:val="20"/>
                    </w:rPr>
                  </m:ctrlPr>
                </m:accPr>
                <m:e>
                  <m:r>
                    <w:rPr>
                      <w:rFonts w:ascii="Cambria Math" w:hAnsi="Cambria Math" w:cs="Times New Roman"/>
                      <w:sz w:val="20"/>
                      <w:szCs w:val="20"/>
                    </w:rPr>
                    <m:t>rat</m:t>
                  </m:r>
                  <m:sSub>
                    <m:sSubPr>
                      <m:ctrlPr>
                        <w:rPr>
                          <w:rFonts w:ascii="Cambria Math" w:hAnsi="Cambria Math" w:cs="Times New Roman"/>
                          <w:i/>
                          <w:sz w:val="20"/>
                          <w:szCs w:val="20"/>
                        </w:rPr>
                      </m:ctrlPr>
                    </m:sSubPr>
                    <m:e>
                      <m:r>
                        <w:rPr>
                          <w:rFonts w:ascii="Cambria Math" w:hAnsi="Cambria Math" w:cs="Times New Roman"/>
                          <w:sz w:val="20"/>
                          <w:szCs w:val="20"/>
                        </w:rPr>
                        <m:t>ed</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4</m:t>
                  </m:r>
                </m:sub>
              </m:sSub>
              <m:acc>
                <m:accPr>
                  <m:chr m:val="̅"/>
                  <m:ctrlPr>
                    <w:rPr>
                      <w:rFonts w:ascii="Cambria Math" w:hAnsi="Cambria Math" w:cs="Times New Roman"/>
                      <w:i/>
                      <w:sz w:val="20"/>
                      <w:szCs w:val="20"/>
                    </w:rPr>
                  </m:ctrlPr>
                </m:accPr>
                <m:e>
                  <m:r>
                    <w:rPr>
                      <w:rFonts w:ascii="Cambria Math" w:hAnsi="Cambria Math" w:cs="Times New Roman"/>
                      <w:sz w:val="20"/>
                      <w:szCs w:val="20"/>
                    </w:rPr>
                    <m:t>ppe</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5</m:t>
                  </m:r>
                </m:sub>
              </m:sSub>
              <m:acc>
                <m:accPr>
                  <m:chr m:val="̅"/>
                  <m:ctrlPr>
                    <w:rPr>
                      <w:rFonts w:ascii="Cambria Math" w:hAnsi="Cambria Math" w:cs="Times New Roman"/>
                      <w:i/>
                      <w:sz w:val="20"/>
                      <w:szCs w:val="20"/>
                    </w:rPr>
                  </m:ctrlPr>
                </m:accPr>
                <m:e>
                  <m:r>
                    <w:rPr>
                      <w:rFonts w:ascii="Cambria Math" w:hAnsi="Cambria Math" w:cs="Times New Roman"/>
                      <w:sz w:val="20"/>
                      <w:szCs w:val="20"/>
                    </w:rPr>
                    <m:t>ro</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6</m:t>
                  </m:r>
                </m:sub>
              </m:sSub>
              <m:acc>
                <m:accPr>
                  <m:chr m:val="̅"/>
                  <m:ctrlPr>
                    <w:rPr>
                      <w:rFonts w:ascii="Cambria Math" w:hAnsi="Cambria Math" w:cs="Times New Roman"/>
                      <w:i/>
                      <w:sz w:val="20"/>
                      <w:szCs w:val="20"/>
                    </w:rPr>
                  </m:ctrlPr>
                </m:accPr>
                <m:e>
                  <m:r>
                    <w:rPr>
                      <w:rFonts w:ascii="Cambria Math" w:hAnsi="Cambria Math" w:cs="Times New Roman"/>
                      <w:sz w:val="20"/>
                      <w:szCs w:val="20"/>
                    </w:rPr>
                    <m:t>div</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7</m:t>
                  </m:r>
                </m:sub>
              </m:sSub>
              <m:acc>
                <m:accPr>
                  <m:chr m:val="̅"/>
                  <m:ctrlPr>
                    <w:rPr>
                      <w:rFonts w:ascii="Cambria Math" w:hAnsi="Cambria Math" w:cs="Times New Roman"/>
                      <w:i/>
                      <w:sz w:val="20"/>
                      <w:szCs w:val="20"/>
                    </w:rPr>
                  </m:ctrlPr>
                </m:accPr>
                <m:e>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β</m:t>
                  </m:r>
                </m:e>
                <m:sub>
                  <m:r>
                    <w:rPr>
                      <w:rFonts w:ascii="Cambria Math" w:hAnsi="Cambria Math" w:cs="Times New Roman"/>
                      <w:sz w:val="20"/>
                      <w:szCs w:val="20"/>
                    </w:rPr>
                    <m:t>8</m:t>
                  </m:r>
                </m:sub>
              </m:sSub>
              <m:acc>
                <m:accPr>
                  <m:chr m:val="̅"/>
                  <m:ctrlPr>
                    <w:rPr>
                      <w:rFonts w:ascii="Cambria Math" w:hAnsi="Cambria Math" w:cs="Times New Roman"/>
                      <w:i/>
                      <w:sz w:val="20"/>
                      <w:szCs w:val="20"/>
                    </w:rPr>
                  </m:ctrlPr>
                </m:accPr>
                <m:e>
                  <m:r>
                    <w:rPr>
                      <w:rFonts w:ascii="Cambria Math" w:hAnsi="Cambria Math" w:cs="Times New Roman"/>
                      <w:sz w:val="20"/>
                      <w:szCs w:val="20"/>
                    </w:rPr>
                    <m:t>ad</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acc>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9</m:t>
                  </m:r>
                </m:sub>
              </m:sSub>
              <m:acc>
                <m:accPr>
                  <m:chr m:val="̅"/>
                  <m:ctrlPr>
                    <w:rPr>
                      <w:rFonts w:ascii="Cambria Math" w:hAnsi="Cambria Math" w:cs="Times New Roman"/>
                      <w:i/>
                      <w:sz w:val="20"/>
                      <w:szCs w:val="20"/>
                    </w:rPr>
                  </m:ctrlPr>
                </m:accPr>
                <m:e>
                  <m:r>
                    <w:rPr>
                      <w:rFonts w:ascii="Cambria Math" w:hAnsi="Cambria Math" w:cs="Times New Roman"/>
                      <w:sz w:val="20"/>
                      <w:szCs w:val="20"/>
                    </w:rPr>
                    <m:t>m</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e>
              </m:acc>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ϵ</m:t>
                  </m:r>
                </m:e>
                <m:sub>
                  <m:r>
                    <w:rPr>
                      <w:rFonts w:ascii="Cambria Math" w:hAnsi="Cambria Math" w:cs="Times New Roman"/>
                      <w:sz w:val="20"/>
                      <w:szCs w:val="20"/>
                    </w:rPr>
                    <m:t>i,t</m:t>
                  </m:r>
                </m:sub>
              </m:sSub>
            </m:oMath>
            <w:r>
              <w:rPr>
                <w:rFonts w:ascii="Times New Roman" w:eastAsiaTheme="minorEastAsia" w:hAnsi="Times New Roman" w:cs="Times New Roman"/>
                <w:sz w:val="20"/>
                <w:szCs w:val="20"/>
              </w:rPr>
              <w:t xml:space="preserve">   </w:t>
            </w:r>
          </w:p>
          <w:p w:rsidR="009276A5" w:rsidRDefault="009276A5" w:rsidP="008136EA">
            <w:pPr>
              <w:rPr>
                <w:rFonts w:ascii="Times New Roman" w:eastAsiaTheme="minorEastAsia" w:hAnsi="Times New Roman" w:cs="Times New Roman"/>
                <w:sz w:val="20"/>
                <w:szCs w:val="20"/>
              </w:rPr>
            </w:pPr>
          </w:p>
          <w:p w:rsidR="009276A5" w:rsidRPr="001A43BB" w:rsidRDefault="009276A5" w:rsidP="008136EA">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Where </w:t>
            </w:r>
            <m:oMath>
              <m:acc>
                <m:accPr>
                  <m:chr m:val="̅"/>
                  <m:ctrlPr>
                    <w:rPr>
                      <w:rFonts w:ascii="Cambria Math" w:eastAsiaTheme="minorEastAsia" w:hAnsi="Cambria Math" w:cs="Times New Roman"/>
                      <w:i/>
                      <w:sz w:val="20"/>
                      <w:szCs w:val="20"/>
                    </w:rPr>
                  </m:ctrlPr>
                </m:acc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IntCov</m:t>
                      </m:r>
                    </m:e>
                    <m:sub>
                      <m:r>
                        <w:rPr>
                          <w:rFonts w:ascii="Cambria Math" w:eastAsiaTheme="minorEastAsia" w:hAnsi="Cambria Math" w:cs="Times New Roman"/>
                          <w:sz w:val="20"/>
                          <w:szCs w:val="20"/>
                        </w:rPr>
                        <m:t>t</m:t>
                      </m:r>
                    </m:sub>
                  </m:sSub>
                </m:e>
              </m:acc>
            </m:oMath>
            <w:r>
              <w:rPr>
                <w:rFonts w:ascii="Times New Roman" w:eastAsiaTheme="minorEastAsia" w:hAnsi="Times New Roman" w:cs="Times New Roman"/>
                <w:sz w:val="20"/>
                <w:szCs w:val="20"/>
              </w:rPr>
              <w:t xml:space="preserve"> represents the average across time, i.e. </w:t>
            </w:r>
            <m:oMath>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t=1</m:t>
                  </m:r>
                </m:sub>
                <m:sup>
                  <m:r>
                    <w:rPr>
                      <w:rFonts w:ascii="Cambria Math" w:eastAsiaTheme="minorEastAsia" w:hAnsi="Cambria Math" w:cs="Times New Roman"/>
                      <w:sz w:val="20"/>
                      <w:szCs w:val="20"/>
                    </w:rPr>
                    <m:t>T</m:t>
                  </m:r>
                </m:sup>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IntCov</m:t>
                          </m:r>
                        </m:e>
                        <m:sub>
                          <m:r>
                            <w:rPr>
                              <w:rFonts w:ascii="Cambria Math" w:eastAsiaTheme="minorEastAsia" w:hAnsi="Cambria Math" w:cs="Times New Roman"/>
                              <w:sz w:val="20"/>
                              <w:szCs w:val="20"/>
                            </w:rPr>
                            <m:t>i,t</m:t>
                          </m:r>
                        </m:sub>
                      </m:sSub>
                    </m:num>
                    <m:den>
                      <m:r>
                        <w:rPr>
                          <w:rFonts w:ascii="Cambria Math" w:eastAsiaTheme="minorEastAsia" w:hAnsi="Cambria Math" w:cs="Times New Roman"/>
                          <w:sz w:val="20"/>
                          <w:szCs w:val="20"/>
                        </w:rPr>
                        <m:t>T</m:t>
                      </m:r>
                    </m:den>
                  </m:f>
                </m:e>
              </m:nary>
            </m:oMath>
            <w:r>
              <w:rPr>
                <w:rFonts w:ascii="Times New Roman" w:eastAsiaTheme="minorEastAsia" w:hAnsi="Times New Roman" w:cs="Times New Roman"/>
                <w:sz w:val="20"/>
                <w:szCs w:val="20"/>
              </w:rPr>
              <w:t>.</w:t>
            </w:r>
          </w:p>
          <w:p w:rsidR="009276A5" w:rsidRDefault="009276A5" w:rsidP="008136EA">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dependent variable is the interest coverage (</w:t>
            </w:r>
            <w:r>
              <w:rPr>
                <w:rFonts w:ascii="Times New Roman" w:eastAsiaTheme="minorEastAsia" w:hAnsi="Times New Roman" w:cs="Times New Roman"/>
                <w:i/>
                <w:sz w:val="20"/>
                <w:szCs w:val="20"/>
              </w:rPr>
              <w:t>IntCov</w:t>
            </w:r>
            <w:r>
              <w:rPr>
                <w:rFonts w:ascii="Times New Roman" w:eastAsiaTheme="minorEastAsia" w:hAnsi="Times New Roman" w:cs="Times New Roman"/>
                <w:sz w:val="20"/>
                <w:szCs w:val="20"/>
              </w:rPr>
              <w:t xml:space="preserve">) for firm </w:t>
            </w:r>
            <w:r>
              <w:rPr>
                <w:rFonts w:ascii="Times New Roman" w:eastAsiaTheme="minorEastAsia" w:hAnsi="Times New Roman" w:cs="Times New Roman"/>
                <w:i/>
                <w:sz w:val="20"/>
                <w:szCs w:val="20"/>
              </w:rPr>
              <w:t xml:space="preserve">i </w:t>
            </w:r>
            <w:r>
              <w:rPr>
                <w:rFonts w:ascii="Times New Roman" w:eastAsiaTheme="minorEastAsia" w:hAnsi="Times New Roman" w:cs="Times New Roman"/>
                <w:sz w:val="20"/>
                <w:szCs w:val="20"/>
              </w:rPr>
              <w:t xml:space="preserve">in year </w:t>
            </w:r>
            <w:r>
              <w:rPr>
                <w:rFonts w:ascii="Times New Roman" w:eastAsiaTheme="minorEastAsia" w:hAnsi="Times New Roman" w:cs="Times New Roman"/>
                <w:i/>
                <w:sz w:val="20"/>
                <w:szCs w:val="20"/>
              </w:rPr>
              <w:t>t</w:t>
            </w:r>
            <w:r>
              <w:rPr>
                <w:rFonts w:ascii="Times New Roman" w:eastAsiaTheme="minorEastAsia" w:hAnsi="Times New Roman" w:cs="Times New Roman"/>
                <w:sz w:val="20"/>
                <w:szCs w:val="20"/>
              </w:rPr>
              <w:t xml:space="preserve">. </w:t>
            </w:r>
            <w:r>
              <w:rPr>
                <w:rFonts w:ascii="Times New Roman" w:eastAsiaTheme="minorEastAsia" w:hAnsi="Times New Roman" w:cs="Times New Roman"/>
                <w:i/>
                <w:sz w:val="20"/>
                <w:szCs w:val="20"/>
              </w:rPr>
              <w:t>tax</w:t>
            </w:r>
            <w:r>
              <w:rPr>
                <w:rFonts w:ascii="Times New Roman" w:eastAsiaTheme="minorEastAsia" w:hAnsi="Times New Roman" w:cs="Times New Roman"/>
                <w:sz w:val="20"/>
                <w:szCs w:val="20"/>
              </w:rPr>
              <w:t xml:space="preserve"> is our measure of the tax rate facing each multinational firm. The base case is in Column I and V, Graham’s </w:t>
            </w:r>
            <w:r>
              <w:rPr>
                <w:rFonts w:ascii="Times New Roman" w:eastAsiaTheme="minorEastAsia" w:hAnsi="Times New Roman" w:cs="Times New Roman"/>
                <w:i/>
                <w:sz w:val="20"/>
                <w:szCs w:val="20"/>
              </w:rPr>
              <w:t>mtr</w:t>
            </w:r>
            <w:r>
              <w:rPr>
                <w:rFonts w:ascii="Times New Roman" w:eastAsiaTheme="minorEastAsia" w:hAnsi="Times New Roman" w:cs="Times New Roman"/>
                <w:sz w:val="20"/>
                <w:szCs w:val="20"/>
              </w:rPr>
              <w:t xml:space="preserve"> in Column II and VI, Blouin, Core, and Guay’s </w:t>
            </w:r>
            <w:r>
              <w:rPr>
                <w:rFonts w:ascii="Times New Roman" w:eastAsiaTheme="minorEastAsia" w:hAnsi="Times New Roman" w:cs="Times New Roman"/>
                <w:i/>
                <w:sz w:val="20"/>
                <w:szCs w:val="20"/>
              </w:rPr>
              <w:t>bcg_mtr</w:t>
            </w:r>
            <w:r>
              <w:rPr>
                <w:rFonts w:ascii="Times New Roman" w:eastAsiaTheme="minorEastAsia" w:hAnsi="Times New Roman" w:cs="Times New Roman"/>
                <w:sz w:val="20"/>
                <w:szCs w:val="20"/>
              </w:rPr>
              <w:t xml:space="preserve"> in Column III and VII, and our new measure </w:t>
            </w:r>
            <w:r>
              <w:rPr>
                <w:rFonts w:ascii="Times New Roman" w:eastAsiaTheme="minorEastAsia" w:hAnsi="Times New Roman" w:cs="Times New Roman"/>
                <w:i/>
                <w:sz w:val="20"/>
                <w:szCs w:val="20"/>
              </w:rPr>
              <w:t>firm_efftaxrate</w:t>
            </w:r>
            <w:r>
              <w:rPr>
                <w:rFonts w:ascii="Times New Roman" w:eastAsiaTheme="minorEastAsia" w:hAnsi="Times New Roman" w:cs="Times New Roman"/>
                <w:sz w:val="20"/>
                <w:szCs w:val="20"/>
              </w:rPr>
              <w:t xml:space="preserve"> in Column IV and VIII. The independent variables include lagged sales (</w:t>
            </w:r>
            <w:r>
              <w:rPr>
                <w:rFonts w:ascii="Times New Roman" w:eastAsiaTheme="minorEastAsia" w:hAnsi="Times New Roman" w:cs="Times New Roman"/>
                <w:i/>
                <w:sz w:val="20"/>
                <w:szCs w:val="20"/>
              </w:rPr>
              <w:t>sales</w:t>
            </w:r>
            <w:r w:rsidRPr="006A5C4C">
              <w:rPr>
                <w:rFonts w:ascii="Times New Roman" w:eastAsiaTheme="minorEastAsia" w:hAnsi="Times New Roman" w:cs="Times New Roman"/>
                <w:i/>
                <w:sz w:val="20"/>
                <w:szCs w:val="20"/>
                <w:vertAlign w:val="subscript"/>
              </w:rPr>
              <w:t>i,t-1</w:t>
            </w:r>
            <w:r>
              <w:rPr>
                <w:rFonts w:ascii="Times New Roman" w:eastAsiaTheme="minorEastAsia" w:hAnsi="Times New Roman" w:cs="Times New Roman"/>
                <w:sz w:val="20"/>
                <w:szCs w:val="20"/>
              </w:rPr>
              <w:t>), a dummy variable to indicate if the firm has a credit rating (</w:t>
            </w:r>
            <w:r>
              <w:rPr>
                <w:rFonts w:ascii="Times New Roman" w:eastAsiaTheme="minorEastAsia" w:hAnsi="Times New Roman" w:cs="Times New Roman"/>
                <w:i/>
                <w:sz w:val="20"/>
                <w:szCs w:val="20"/>
              </w:rPr>
              <w:t>rated</w:t>
            </w:r>
            <w:r w:rsidRPr="006A5C4C">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property, plant, and equipment over lagged book assets (</w:t>
            </w:r>
            <w:r>
              <w:rPr>
                <w:rFonts w:ascii="Times New Roman" w:eastAsiaTheme="minorEastAsia" w:hAnsi="Times New Roman" w:cs="Times New Roman"/>
                <w:i/>
                <w:sz w:val="20"/>
                <w:szCs w:val="20"/>
              </w:rPr>
              <w:t>ppeb</w:t>
            </w:r>
            <w:r w:rsidRPr="006A5C4C">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return on assets (</w:t>
            </w:r>
            <w:r>
              <w:rPr>
                <w:rFonts w:ascii="Times New Roman" w:eastAsiaTheme="minorEastAsia" w:hAnsi="Times New Roman" w:cs="Times New Roman"/>
                <w:i/>
                <w:sz w:val="20"/>
                <w:szCs w:val="20"/>
              </w:rPr>
              <w:t>roa</w:t>
            </w:r>
            <w:r w:rsidRPr="007E1C0A">
              <w:rPr>
                <w:rFonts w:ascii="Times New Roman" w:eastAsiaTheme="minorEastAsia" w:hAnsi="Times New Roman" w:cs="Times New Roman"/>
                <w:i/>
                <w:sz w:val="20"/>
                <w:szCs w:val="20"/>
                <w:vertAlign w:val="subscript"/>
              </w:rPr>
              <w:t>i</w:t>
            </w:r>
            <w:r>
              <w:rPr>
                <w:rFonts w:ascii="Times New Roman" w:eastAsiaTheme="minorEastAsia" w:hAnsi="Times New Roman" w:cs="Times New Roman"/>
                <w:i/>
                <w:sz w:val="20"/>
                <w:szCs w:val="20"/>
                <w:vertAlign w:val="subscript"/>
              </w:rPr>
              <w:t>,</w:t>
            </w:r>
            <w:r w:rsidRPr="007E1C0A">
              <w:rPr>
                <w:rFonts w:ascii="Times New Roman" w:eastAsiaTheme="minorEastAsia" w:hAnsi="Times New Roman" w:cs="Times New Roman"/>
                <w:i/>
                <w:sz w:val="20"/>
                <w:szCs w:val="20"/>
                <w:vertAlign w:val="subscript"/>
              </w:rPr>
              <w:t>t</w:t>
            </w:r>
            <w:r>
              <w:rPr>
                <w:rFonts w:ascii="Times New Roman" w:eastAsiaTheme="minorEastAsia" w:hAnsi="Times New Roman" w:cs="Times New Roman"/>
                <w:sz w:val="20"/>
                <w:szCs w:val="20"/>
              </w:rPr>
              <w:t>), a dummy variable set to 1 if the firm pays a dividend (</w:t>
            </w:r>
            <w:r>
              <w:rPr>
                <w:rFonts w:ascii="Times New Roman" w:eastAsiaTheme="minorEastAsia" w:hAnsi="Times New Roman" w:cs="Times New Roman"/>
                <w:i/>
                <w:sz w:val="20"/>
                <w:szCs w:val="20"/>
              </w:rPr>
              <w:t>divs</w:t>
            </w:r>
            <w:r w:rsidRPr="007E1C0A">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research and development expense (</w:t>
            </w:r>
            <w:r>
              <w:rPr>
                <w:rFonts w:ascii="Times New Roman" w:eastAsiaTheme="minorEastAsia" w:hAnsi="Times New Roman" w:cs="Times New Roman"/>
                <w:i/>
                <w:sz w:val="20"/>
                <w:szCs w:val="20"/>
              </w:rPr>
              <w:t>rd</w:t>
            </w:r>
            <w:r w:rsidRPr="007E1C0A">
              <w:rPr>
                <w:rFonts w:ascii="Times New Roman" w:eastAsiaTheme="minorEastAsia" w:hAnsi="Times New Roman" w:cs="Times New Roman"/>
                <w:i/>
                <w:sz w:val="20"/>
                <w:szCs w:val="20"/>
                <w:vertAlign w:val="subscript"/>
              </w:rPr>
              <w:t>i,t</w:t>
            </w:r>
            <w:r>
              <w:rPr>
                <w:rFonts w:ascii="Times New Roman" w:eastAsiaTheme="minorEastAsia" w:hAnsi="Times New Roman" w:cs="Times New Roman"/>
                <w:sz w:val="20"/>
                <w:szCs w:val="20"/>
              </w:rPr>
              <w:t>), advertising expense (adv</w:t>
            </w:r>
            <w:r w:rsidRPr="007E1C0A">
              <w:rPr>
                <w:rFonts w:ascii="Times New Roman" w:eastAsiaTheme="minorEastAsia" w:hAnsi="Times New Roman" w:cs="Times New Roman"/>
                <w:sz w:val="20"/>
                <w:szCs w:val="20"/>
                <w:vertAlign w:val="subscript"/>
              </w:rPr>
              <w:t>i,t</w:t>
            </w:r>
            <w:r>
              <w:rPr>
                <w:rFonts w:ascii="Times New Roman" w:eastAsiaTheme="minorEastAsia" w:hAnsi="Times New Roman" w:cs="Times New Roman"/>
                <w:sz w:val="20"/>
                <w:szCs w:val="20"/>
              </w:rPr>
              <w:t>), market-to-book ratio (mb</w:t>
            </w:r>
            <w:r w:rsidRPr="007E1C0A">
              <w:rPr>
                <w:rFonts w:ascii="Times New Roman" w:eastAsiaTheme="minorEastAsia" w:hAnsi="Times New Roman" w:cs="Times New Roman"/>
                <w:sz w:val="20"/>
                <w:szCs w:val="20"/>
                <w:vertAlign w:val="subscript"/>
              </w:rPr>
              <w:t>i,t</w:t>
            </w:r>
            <w:r>
              <w:rPr>
                <w:rFonts w:ascii="Times New Roman" w:eastAsiaTheme="minorEastAsia" w:hAnsi="Times New Roman" w:cs="Times New Roman"/>
                <w:sz w:val="20"/>
                <w:szCs w:val="20"/>
              </w:rPr>
              <w:t xml:space="preserve">), and finally year dummy variables (e.g. </w:t>
            </w:r>
            <w:r>
              <w:rPr>
                <w:rFonts w:ascii="Times New Roman" w:eastAsiaTheme="minorEastAsia" w:hAnsi="Times New Roman" w:cs="Times New Roman"/>
                <w:i/>
                <w:sz w:val="20"/>
                <w:szCs w:val="20"/>
              </w:rPr>
              <w:t>dyear2007</w:t>
            </w:r>
            <w:r>
              <w:rPr>
                <w:rFonts w:ascii="Times New Roman" w:eastAsiaTheme="minorEastAsia" w:hAnsi="Times New Roman" w:cs="Times New Roman"/>
                <w:sz w:val="20"/>
                <w:szCs w:val="20"/>
              </w:rPr>
              <w:t xml:space="preserve">). Standard errors are clustered at the firm level.  Standard errors are reported in parenthesis.             </w:t>
            </w:r>
          </w:p>
          <w:p w:rsidR="009276A5" w:rsidRDefault="009276A5" w:rsidP="008136EA">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 * represent significance at the one percent, five percent, and ten percent levels, respectively.</w:t>
            </w:r>
          </w:p>
          <w:p w:rsidR="009276A5" w:rsidRDefault="009276A5" w:rsidP="008136EA">
            <w:pPr>
              <w:rPr>
                <w:rFonts w:ascii="Times New Roman" w:eastAsiaTheme="minorEastAsia" w:hAnsi="Times New Roman" w:cs="Times New Roman"/>
                <w:sz w:val="20"/>
                <w:szCs w:val="20"/>
              </w:rPr>
            </w:pPr>
          </w:p>
          <w:p w:rsidR="009276A5" w:rsidRDefault="009276A5" w:rsidP="008136EA">
            <w:pPr>
              <w:rPr>
                <w:rFonts w:ascii="Times New Roman" w:eastAsiaTheme="minorEastAsia" w:hAnsi="Times New Roman" w:cs="Times New Roman"/>
                <w:sz w:val="20"/>
                <w:szCs w:val="20"/>
              </w:rPr>
            </w:pPr>
          </w:p>
          <w:p w:rsidR="009276A5" w:rsidRDefault="009276A5" w:rsidP="008136EA">
            <w:pPr>
              <w:rPr>
                <w:rFonts w:ascii="Times New Roman" w:eastAsiaTheme="minorEastAsia" w:hAnsi="Times New Roman" w:cs="Times New Roman"/>
                <w:sz w:val="20"/>
                <w:szCs w:val="20"/>
              </w:rPr>
            </w:pPr>
          </w:p>
          <w:p w:rsidR="009276A5" w:rsidRDefault="009276A5" w:rsidP="008136EA">
            <w:pPr>
              <w:rPr>
                <w:rFonts w:ascii="Times New Roman" w:eastAsiaTheme="minorEastAsia" w:hAnsi="Times New Roman" w:cs="Times New Roman"/>
                <w:sz w:val="20"/>
                <w:szCs w:val="20"/>
              </w:rPr>
            </w:pPr>
          </w:p>
          <w:p w:rsidR="009276A5" w:rsidRDefault="009276A5" w:rsidP="008136EA">
            <w:pPr>
              <w:rPr>
                <w:rFonts w:ascii="Times New Roman" w:hAnsi="Times New Roman" w:cs="Times New Roman"/>
                <w:b/>
                <w:sz w:val="20"/>
                <w:szCs w:val="20"/>
              </w:rPr>
            </w:pPr>
          </w:p>
          <w:p w:rsidR="009276A5" w:rsidRDefault="009276A5" w:rsidP="008136EA">
            <w:pPr>
              <w:rPr>
                <w:rFonts w:ascii="Times New Roman" w:hAnsi="Times New Roman" w:cs="Times New Roman"/>
                <w:b/>
                <w:sz w:val="20"/>
                <w:szCs w:val="20"/>
              </w:rPr>
            </w:pPr>
          </w:p>
          <w:p w:rsidR="009276A5" w:rsidRPr="00606CEE" w:rsidRDefault="009276A5" w:rsidP="008136EA">
            <w:pPr>
              <w:rPr>
                <w:rFonts w:ascii="Times New Roman" w:hAnsi="Times New Roman" w:cs="Times New Roman"/>
                <w:b/>
                <w:sz w:val="20"/>
                <w:szCs w:val="20"/>
              </w:rPr>
            </w:pPr>
          </w:p>
        </w:tc>
      </w:tr>
      <w:tr w:rsidR="009276A5" w:rsidTr="008136EA">
        <w:tc>
          <w:tcPr>
            <w:tcW w:w="1789" w:type="dxa"/>
            <w:tcBorders>
              <w:top w:val="single" w:sz="4" w:space="0" w:color="auto"/>
              <w:left w:val="nil"/>
              <w:bottom w:val="single" w:sz="4" w:space="0" w:color="auto"/>
              <w:right w:val="nil"/>
            </w:tcBorders>
          </w:tcPr>
          <w:p w:rsidR="009276A5" w:rsidRDefault="009276A5" w:rsidP="008136EA"/>
        </w:tc>
        <w:tc>
          <w:tcPr>
            <w:tcW w:w="1587" w:type="dxa"/>
            <w:tcBorders>
              <w:top w:val="single" w:sz="4" w:space="0" w:color="auto"/>
              <w:left w:val="nil"/>
              <w:bottom w:val="single" w:sz="4" w:space="0" w:color="auto"/>
              <w:right w:val="nil"/>
            </w:tcBorders>
          </w:tcPr>
          <w:p w:rsidR="009276A5" w:rsidRDefault="009276A5" w:rsidP="008136EA">
            <w:pPr>
              <w:jc w:val="center"/>
            </w:pPr>
            <w:r>
              <w:t>I</w:t>
            </w:r>
          </w:p>
        </w:tc>
        <w:tc>
          <w:tcPr>
            <w:tcW w:w="1587" w:type="dxa"/>
            <w:tcBorders>
              <w:top w:val="single" w:sz="4" w:space="0" w:color="auto"/>
              <w:left w:val="nil"/>
              <w:bottom w:val="single" w:sz="4" w:space="0" w:color="auto"/>
              <w:right w:val="nil"/>
            </w:tcBorders>
          </w:tcPr>
          <w:p w:rsidR="009276A5" w:rsidRDefault="009276A5" w:rsidP="008136EA">
            <w:pPr>
              <w:jc w:val="center"/>
            </w:pPr>
            <w:r>
              <w:t>II</w:t>
            </w:r>
          </w:p>
        </w:tc>
        <w:tc>
          <w:tcPr>
            <w:tcW w:w="1587" w:type="dxa"/>
            <w:tcBorders>
              <w:top w:val="single" w:sz="4" w:space="0" w:color="auto"/>
              <w:left w:val="nil"/>
              <w:bottom w:val="single" w:sz="4" w:space="0" w:color="auto"/>
              <w:right w:val="nil"/>
            </w:tcBorders>
          </w:tcPr>
          <w:p w:rsidR="009276A5" w:rsidRDefault="009276A5" w:rsidP="008136EA">
            <w:pPr>
              <w:jc w:val="center"/>
            </w:pPr>
            <w:r>
              <w:t>III</w:t>
            </w:r>
          </w:p>
        </w:tc>
        <w:tc>
          <w:tcPr>
            <w:tcW w:w="1586" w:type="dxa"/>
            <w:tcBorders>
              <w:top w:val="single" w:sz="4" w:space="0" w:color="auto"/>
              <w:left w:val="nil"/>
              <w:bottom w:val="single" w:sz="4" w:space="0" w:color="auto"/>
              <w:right w:val="nil"/>
            </w:tcBorders>
          </w:tcPr>
          <w:p w:rsidR="009276A5" w:rsidRDefault="009276A5" w:rsidP="008136EA">
            <w:pPr>
              <w:jc w:val="center"/>
            </w:pPr>
            <w:r>
              <w:t>IV</w:t>
            </w:r>
          </w:p>
        </w:tc>
        <w:tc>
          <w:tcPr>
            <w:tcW w:w="1260" w:type="dxa"/>
            <w:tcBorders>
              <w:top w:val="single" w:sz="4" w:space="0" w:color="auto"/>
              <w:left w:val="nil"/>
              <w:bottom w:val="single" w:sz="4" w:space="0" w:color="auto"/>
              <w:right w:val="nil"/>
            </w:tcBorders>
          </w:tcPr>
          <w:p w:rsidR="009276A5" w:rsidRDefault="009276A5" w:rsidP="008136EA">
            <w:pPr>
              <w:jc w:val="center"/>
            </w:pPr>
            <w:r>
              <w:t>V</w:t>
            </w:r>
          </w:p>
        </w:tc>
        <w:tc>
          <w:tcPr>
            <w:tcW w:w="1260" w:type="dxa"/>
            <w:tcBorders>
              <w:top w:val="single" w:sz="4" w:space="0" w:color="auto"/>
              <w:left w:val="nil"/>
              <w:bottom w:val="single" w:sz="4" w:space="0" w:color="auto"/>
              <w:right w:val="nil"/>
            </w:tcBorders>
          </w:tcPr>
          <w:p w:rsidR="009276A5" w:rsidRDefault="009276A5" w:rsidP="008136EA">
            <w:pPr>
              <w:jc w:val="center"/>
            </w:pPr>
            <w:r>
              <w:t>VI</w:t>
            </w:r>
          </w:p>
        </w:tc>
        <w:tc>
          <w:tcPr>
            <w:tcW w:w="1260" w:type="dxa"/>
            <w:tcBorders>
              <w:top w:val="single" w:sz="4" w:space="0" w:color="auto"/>
              <w:left w:val="nil"/>
              <w:bottom w:val="single" w:sz="4" w:space="0" w:color="auto"/>
              <w:right w:val="nil"/>
            </w:tcBorders>
          </w:tcPr>
          <w:p w:rsidR="009276A5" w:rsidRDefault="009276A5" w:rsidP="008136EA">
            <w:pPr>
              <w:jc w:val="center"/>
            </w:pPr>
            <w:r>
              <w:t>VII</w:t>
            </w:r>
          </w:p>
        </w:tc>
        <w:tc>
          <w:tcPr>
            <w:tcW w:w="1260" w:type="dxa"/>
            <w:tcBorders>
              <w:top w:val="single" w:sz="4" w:space="0" w:color="auto"/>
              <w:left w:val="nil"/>
              <w:bottom w:val="single" w:sz="4" w:space="0" w:color="auto"/>
              <w:right w:val="nil"/>
            </w:tcBorders>
          </w:tcPr>
          <w:p w:rsidR="009276A5" w:rsidRDefault="009276A5" w:rsidP="008136EA">
            <w:pPr>
              <w:jc w:val="center"/>
            </w:pPr>
            <w:r>
              <w:t>VIII</w:t>
            </w:r>
          </w:p>
        </w:tc>
      </w:tr>
      <w:tr w:rsidR="009276A5" w:rsidTr="008136EA">
        <w:tc>
          <w:tcPr>
            <w:tcW w:w="1789" w:type="dxa"/>
            <w:tcBorders>
              <w:top w:val="nil"/>
              <w:left w:val="nil"/>
              <w:bottom w:val="nil"/>
              <w:right w:val="nil"/>
            </w:tcBorders>
          </w:tcPr>
          <w:p w:rsidR="009276A5" w:rsidRDefault="009276A5" w:rsidP="008136EA">
            <w:pPr>
              <w:rPr>
                <w:rFonts w:ascii="Times New Roman" w:hAnsi="Times New Roman" w:cs="Times New Roman"/>
                <w:i/>
                <w:sz w:val="20"/>
                <w:szCs w:val="20"/>
                <w:vertAlign w:val="subscript"/>
              </w:rPr>
            </w:pPr>
            <w:r w:rsidRPr="0075597C">
              <w:rPr>
                <w:rFonts w:ascii="Times New Roman" w:hAnsi="Times New Roman" w:cs="Times New Roman"/>
                <w:i/>
                <w:sz w:val="20"/>
                <w:szCs w:val="20"/>
              </w:rPr>
              <w:t>Mtr</w:t>
            </w:r>
            <w:r w:rsidRPr="0075597C">
              <w:rPr>
                <w:rFonts w:ascii="Times New Roman" w:hAnsi="Times New Roman" w:cs="Times New Roman"/>
                <w:i/>
                <w:sz w:val="20"/>
                <w:szCs w:val="20"/>
                <w:vertAlign w:val="subscript"/>
              </w:rPr>
              <w:t>i,t</w:t>
            </w:r>
          </w:p>
          <w:p w:rsidR="009276A5" w:rsidRPr="0075597C" w:rsidRDefault="009276A5" w:rsidP="008136EA">
            <w:pPr>
              <w:rPr>
                <w:rFonts w:ascii="Times New Roman" w:hAnsi="Times New Roman" w:cs="Times New Roman"/>
                <w:i/>
                <w:sz w:val="20"/>
                <w:szCs w:val="20"/>
              </w:rPr>
            </w:pPr>
          </w:p>
        </w:tc>
        <w:tc>
          <w:tcPr>
            <w:tcW w:w="1587"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2.3517***</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(0.4347</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586"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260"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3.4850***</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(0.6308</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r>
      <w:tr w:rsidR="009276A5" w:rsidTr="008136EA">
        <w:tc>
          <w:tcPr>
            <w:tcW w:w="1789" w:type="dxa"/>
            <w:tcBorders>
              <w:top w:val="nil"/>
              <w:left w:val="nil"/>
              <w:bottom w:val="nil"/>
              <w:right w:val="nil"/>
            </w:tcBorders>
          </w:tcPr>
          <w:p w:rsidR="009276A5" w:rsidRDefault="009276A5" w:rsidP="008136EA">
            <w:pPr>
              <w:rPr>
                <w:rFonts w:ascii="Times New Roman" w:hAnsi="Times New Roman" w:cs="Times New Roman"/>
                <w:i/>
                <w:sz w:val="20"/>
                <w:szCs w:val="20"/>
                <w:vertAlign w:val="subscript"/>
              </w:rPr>
            </w:pPr>
            <w:r>
              <w:rPr>
                <w:rFonts w:ascii="Times New Roman" w:hAnsi="Times New Roman" w:cs="Times New Roman"/>
                <w:i/>
                <w:sz w:val="20"/>
                <w:szCs w:val="20"/>
              </w:rPr>
              <w:t>Bcg_mtr</w:t>
            </w:r>
            <w:r w:rsidRPr="00AB0CE3">
              <w:rPr>
                <w:rFonts w:ascii="Times New Roman" w:hAnsi="Times New Roman" w:cs="Times New Roman"/>
                <w:i/>
                <w:sz w:val="20"/>
                <w:szCs w:val="20"/>
                <w:vertAlign w:val="subscript"/>
              </w:rPr>
              <w:t>i,t</w:t>
            </w:r>
          </w:p>
          <w:p w:rsidR="009276A5" w:rsidRPr="0075597C" w:rsidRDefault="009276A5" w:rsidP="008136EA">
            <w:pPr>
              <w:rPr>
                <w:rFonts w:ascii="Times New Roman" w:hAnsi="Times New Roman" w:cs="Times New Roman"/>
                <w:i/>
                <w:sz w:val="20"/>
                <w:szCs w:val="20"/>
              </w:rPr>
            </w:pPr>
          </w:p>
        </w:tc>
        <w:tc>
          <w:tcPr>
            <w:tcW w:w="1587"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587"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587"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2.2702*</w:t>
            </w:r>
            <w:r w:rsidR="009276A5">
              <w:rPr>
                <w:rFonts w:ascii="Times New Roman" w:hAnsi="Times New Roman" w:cs="Times New Roman"/>
                <w:sz w:val="20"/>
                <w:szCs w:val="20"/>
              </w:rPr>
              <w:t>*</w:t>
            </w:r>
          </w:p>
          <w:p w:rsidR="009276A5" w:rsidRPr="00954DE4"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(1.0508</w:t>
            </w:r>
            <w:r w:rsidR="009276A5" w:rsidRPr="00954DE4">
              <w:rPr>
                <w:rFonts w:ascii="Times New Roman" w:hAnsi="Times New Roman" w:cs="Times New Roman"/>
                <w:sz w:val="28"/>
                <w:szCs w:val="20"/>
                <w:vertAlign w:val="superscript"/>
              </w:rPr>
              <w:t>)</w:t>
            </w:r>
          </w:p>
        </w:tc>
        <w:tc>
          <w:tcPr>
            <w:tcW w:w="1586"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1.9540</w:t>
            </w:r>
            <w:r w:rsidR="009276A5">
              <w:rPr>
                <w:rFonts w:ascii="Times New Roman" w:hAnsi="Times New Roman" w:cs="Times New Roman"/>
                <w:sz w:val="20"/>
                <w:szCs w:val="20"/>
              </w:rPr>
              <w:t>**</w:t>
            </w:r>
          </w:p>
          <w:p w:rsidR="009276A5" w:rsidRPr="00954DE4"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(0.8230</w:t>
            </w:r>
            <w:r w:rsidR="009276A5" w:rsidRPr="00954DE4">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r>
      <w:tr w:rsidR="009276A5" w:rsidTr="008136EA">
        <w:tc>
          <w:tcPr>
            <w:tcW w:w="1789" w:type="dxa"/>
            <w:tcBorders>
              <w:top w:val="nil"/>
              <w:left w:val="nil"/>
              <w:bottom w:val="nil"/>
              <w:right w:val="nil"/>
            </w:tcBorders>
          </w:tcPr>
          <w:p w:rsidR="009276A5" w:rsidRDefault="009276A5" w:rsidP="008136EA">
            <w:pPr>
              <w:rPr>
                <w:rFonts w:ascii="Times New Roman" w:hAnsi="Times New Roman" w:cs="Times New Roman"/>
                <w:i/>
                <w:sz w:val="20"/>
                <w:szCs w:val="20"/>
                <w:vertAlign w:val="subscript"/>
              </w:rPr>
            </w:pPr>
            <w:r>
              <w:rPr>
                <w:rFonts w:ascii="Times New Roman" w:hAnsi="Times New Roman" w:cs="Times New Roman"/>
                <w:i/>
                <w:sz w:val="20"/>
                <w:szCs w:val="20"/>
              </w:rPr>
              <w:t>Firm_efftaxrate</w:t>
            </w:r>
            <w:r w:rsidRPr="00AB0CE3">
              <w:rPr>
                <w:rFonts w:ascii="Times New Roman" w:hAnsi="Times New Roman" w:cs="Times New Roman"/>
                <w:i/>
                <w:sz w:val="20"/>
                <w:szCs w:val="20"/>
                <w:vertAlign w:val="subscript"/>
              </w:rPr>
              <w:t>i,t</w:t>
            </w:r>
          </w:p>
          <w:p w:rsidR="009276A5" w:rsidRDefault="009276A5" w:rsidP="008136EA">
            <w:pPr>
              <w:rPr>
                <w:rFonts w:ascii="Times New Roman" w:hAnsi="Times New Roman" w:cs="Times New Roman"/>
                <w:i/>
                <w:sz w:val="20"/>
                <w:szCs w:val="20"/>
              </w:rPr>
            </w:pPr>
          </w:p>
        </w:tc>
        <w:tc>
          <w:tcPr>
            <w:tcW w:w="1587"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587"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587"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586"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-1.4125</w:t>
            </w:r>
            <w:r w:rsidR="009276A5">
              <w:rPr>
                <w:rFonts w:ascii="Times New Roman" w:hAnsi="Times New Roman" w:cs="Times New Roman"/>
                <w:sz w:val="20"/>
                <w:szCs w:val="20"/>
              </w:rPr>
              <w:t>*</w:t>
            </w:r>
          </w:p>
          <w:p w:rsidR="009276A5" w:rsidRPr="00D02300"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(0.8245</w:t>
            </w:r>
            <w:r w:rsidR="009276A5" w:rsidRPr="00D02300">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260" w:type="dxa"/>
            <w:tcBorders>
              <w:top w:val="nil"/>
              <w:left w:val="nil"/>
              <w:bottom w:val="nil"/>
              <w:right w:val="nil"/>
            </w:tcBorders>
          </w:tcPr>
          <w:p w:rsidR="009276A5" w:rsidRDefault="00E52521" w:rsidP="008136EA">
            <w:pPr>
              <w:jc w:val="center"/>
              <w:rPr>
                <w:rFonts w:ascii="Times New Roman" w:hAnsi="Times New Roman" w:cs="Times New Roman"/>
                <w:sz w:val="20"/>
                <w:szCs w:val="20"/>
              </w:rPr>
            </w:pPr>
            <w:r>
              <w:rPr>
                <w:rFonts w:ascii="Times New Roman" w:hAnsi="Times New Roman" w:cs="Times New Roman"/>
                <w:sz w:val="20"/>
                <w:szCs w:val="20"/>
              </w:rPr>
              <w:t>-1.6081</w:t>
            </w:r>
            <w:r w:rsidR="009276A5">
              <w:rPr>
                <w:rFonts w:ascii="Times New Roman" w:hAnsi="Times New Roman" w:cs="Times New Roman"/>
                <w:sz w:val="20"/>
                <w:szCs w:val="20"/>
              </w:rPr>
              <w:t>*</w:t>
            </w:r>
          </w:p>
          <w:p w:rsidR="009276A5" w:rsidRPr="00D02300" w:rsidRDefault="00E52521"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(0.9306</w:t>
            </w:r>
            <w:r w:rsidR="009276A5" w:rsidRPr="00D02300">
              <w:rPr>
                <w:rFonts w:ascii="Times New Roman" w:hAnsi="Times New Roman" w:cs="Times New Roman"/>
                <w:sz w:val="28"/>
                <w:szCs w:val="20"/>
                <w:vertAlign w:val="superscript"/>
              </w:rPr>
              <w:t>)</w:t>
            </w:r>
          </w:p>
        </w:tc>
      </w:tr>
      <w:tr w:rsidR="009276A5" w:rsidTr="008136EA">
        <w:tc>
          <w:tcPr>
            <w:tcW w:w="1789" w:type="dxa"/>
            <w:tcBorders>
              <w:top w:val="nil"/>
              <w:left w:val="nil"/>
              <w:bottom w:val="nil"/>
              <w:right w:val="nil"/>
            </w:tcBorders>
          </w:tcPr>
          <w:p w:rsidR="009276A5" w:rsidRDefault="009276A5" w:rsidP="008136EA">
            <w:pPr>
              <w:rPr>
                <w:rFonts w:ascii="Times New Roman" w:hAnsi="Times New Roman" w:cs="Times New Roman"/>
                <w:i/>
                <w:sz w:val="20"/>
                <w:szCs w:val="20"/>
                <w:vertAlign w:val="subscript"/>
              </w:rPr>
            </w:pPr>
            <w:r>
              <w:rPr>
                <w:rFonts w:ascii="Times New Roman" w:hAnsi="Times New Roman" w:cs="Times New Roman"/>
                <w:i/>
                <w:sz w:val="20"/>
                <w:szCs w:val="20"/>
              </w:rPr>
              <w:t>Sales</w:t>
            </w:r>
            <w:r w:rsidRPr="009A001F">
              <w:rPr>
                <w:rFonts w:ascii="Times New Roman" w:hAnsi="Times New Roman" w:cs="Times New Roman"/>
                <w:i/>
                <w:sz w:val="20"/>
                <w:szCs w:val="20"/>
                <w:vertAlign w:val="subscript"/>
              </w:rPr>
              <w:t>i,t-1</w:t>
            </w:r>
          </w:p>
          <w:p w:rsidR="009276A5" w:rsidRDefault="009276A5" w:rsidP="008136EA">
            <w:pPr>
              <w:rPr>
                <w:rFonts w:ascii="Times New Roman" w:hAnsi="Times New Roman" w:cs="Times New Roman"/>
                <w:i/>
                <w:sz w:val="20"/>
                <w:szCs w:val="20"/>
              </w:rPr>
            </w:pP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-0.0406</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(0.0392</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-0.0683*</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(0.0384</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-0.0683*</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(0.0376</w:t>
            </w:r>
            <w:r w:rsidR="009276A5"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-0.0914**</w:t>
            </w:r>
            <w:r w:rsidR="009276A5">
              <w:rPr>
                <w:rFonts w:ascii="Times New Roman" w:hAnsi="Times New Roman" w:cs="Times New Roman"/>
                <w:sz w:val="20"/>
                <w:szCs w:val="20"/>
              </w:rPr>
              <w:t>*</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(0.0338</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-0.0414</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(0.0384</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-0.0874**</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(0.0389</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-0.0704*</w:t>
            </w:r>
          </w:p>
          <w:p w:rsidR="009276A5" w:rsidRPr="00AB0CE3"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(0.0403</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E52521" w:rsidP="008136EA">
            <w:pPr>
              <w:jc w:val="center"/>
              <w:rPr>
                <w:rFonts w:ascii="Times New Roman" w:hAnsi="Times New Roman" w:cs="Times New Roman"/>
                <w:sz w:val="20"/>
                <w:szCs w:val="20"/>
              </w:rPr>
            </w:pPr>
            <w:r>
              <w:rPr>
                <w:rFonts w:ascii="Times New Roman" w:hAnsi="Times New Roman" w:cs="Times New Roman"/>
                <w:sz w:val="20"/>
                <w:szCs w:val="20"/>
              </w:rPr>
              <w:t>-0.0605</w:t>
            </w:r>
            <w:r w:rsidR="009276A5">
              <w:rPr>
                <w:rFonts w:ascii="Times New Roman" w:hAnsi="Times New Roman" w:cs="Times New Roman"/>
                <w:sz w:val="20"/>
                <w:szCs w:val="20"/>
              </w:rPr>
              <w:t>*</w:t>
            </w:r>
          </w:p>
          <w:p w:rsidR="009276A5" w:rsidRPr="00AB0CE3" w:rsidRDefault="00E52521"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(0.0363</w:t>
            </w:r>
            <w:r w:rsidR="009276A5" w:rsidRPr="00AB0CE3">
              <w:rPr>
                <w:rFonts w:ascii="Times New Roman" w:hAnsi="Times New Roman" w:cs="Times New Roman"/>
                <w:sz w:val="28"/>
                <w:szCs w:val="20"/>
                <w:vertAlign w:val="superscript"/>
              </w:rPr>
              <w:t>)</w:t>
            </w:r>
          </w:p>
        </w:tc>
      </w:tr>
      <w:tr w:rsidR="009276A5" w:rsidTr="008136EA">
        <w:tc>
          <w:tcPr>
            <w:tcW w:w="1789" w:type="dxa"/>
            <w:tcBorders>
              <w:top w:val="nil"/>
              <w:left w:val="nil"/>
              <w:bottom w:val="nil"/>
              <w:right w:val="nil"/>
            </w:tcBorders>
          </w:tcPr>
          <w:p w:rsidR="009276A5" w:rsidRDefault="009276A5" w:rsidP="008136EA">
            <w:pPr>
              <w:rPr>
                <w:rFonts w:ascii="Times New Roman" w:hAnsi="Times New Roman" w:cs="Times New Roman"/>
                <w:i/>
                <w:sz w:val="20"/>
                <w:szCs w:val="20"/>
                <w:vertAlign w:val="subscript"/>
              </w:rPr>
            </w:pPr>
            <w:r>
              <w:rPr>
                <w:rFonts w:ascii="Times New Roman" w:hAnsi="Times New Roman" w:cs="Times New Roman"/>
                <w:i/>
                <w:sz w:val="20"/>
                <w:szCs w:val="20"/>
              </w:rPr>
              <w:t>Rated</w:t>
            </w:r>
            <w:r w:rsidRPr="009A001F">
              <w:rPr>
                <w:rFonts w:ascii="Times New Roman" w:hAnsi="Times New Roman" w:cs="Times New Roman"/>
                <w:i/>
                <w:sz w:val="20"/>
                <w:szCs w:val="20"/>
                <w:vertAlign w:val="subscript"/>
              </w:rPr>
              <w:t>i,t</w:t>
            </w:r>
          </w:p>
          <w:p w:rsidR="009276A5" w:rsidRDefault="009276A5" w:rsidP="008136EA">
            <w:pPr>
              <w:rPr>
                <w:rFonts w:ascii="Times New Roman" w:hAnsi="Times New Roman" w:cs="Times New Roman"/>
                <w:i/>
                <w:sz w:val="20"/>
                <w:szCs w:val="20"/>
              </w:rPr>
            </w:pP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-1.0444</w:t>
            </w:r>
            <w:r w:rsidRPr="00954DE4">
              <w:rPr>
                <w:rFonts w:ascii="Times New Roman" w:hAnsi="Times New Roman" w:cs="Times New Roman"/>
                <w:sz w:val="20"/>
                <w:szCs w:val="20"/>
              </w:rPr>
              <w:t>***</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(0.1160</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-1.0313***</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(0.1153</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-1.0498</w:t>
            </w:r>
            <w:r w:rsidR="009276A5">
              <w:rPr>
                <w:rFonts w:ascii="Times New Roman" w:hAnsi="Times New Roman" w:cs="Times New Roman"/>
                <w:sz w:val="20"/>
                <w:szCs w:val="20"/>
              </w:rPr>
              <w:t>***</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(0.1176</w:t>
            </w:r>
            <w:r w:rsidR="009276A5"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-1.0465</w:t>
            </w:r>
            <w:r w:rsidR="009276A5">
              <w:rPr>
                <w:rFonts w:ascii="Times New Roman" w:hAnsi="Times New Roman" w:cs="Times New Roman"/>
                <w:sz w:val="20"/>
                <w:szCs w:val="20"/>
              </w:rPr>
              <w:t>***</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(0.0978</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-1.2587</w:t>
            </w:r>
            <w:r w:rsidR="009276A5" w:rsidRPr="00954DE4">
              <w:rPr>
                <w:rFonts w:ascii="Times New Roman" w:hAnsi="Times New Roman" w:cs="Times New Roman"/>
                <w:sz w:val="20"/>
                <w:szCs w:val="20"/>
              </w:rPr>
              <w:t>***</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(0.1711</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-1.2390</w:t>
            </w:r>
            <w:r w:rsidR="009276A5">
              <w:rPr>
                <w:rFonts w:ascii="Times New Roman" w:hAnsi="Times New Roman" w:cs="Times New Roman"/>
                <w:sz w:val="20"/>
                <w:szCs w:val="20"/>
              </w:rPr>
              <w:t>***</w:t>
            </w:r>
          </w:p>
          <w:p w:rsidR="009276A5" w:rsidRPr="00AB0CE3"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(0.1690</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-1.2565</w:t>
            </w:r>
            <w:r w:rsidR="009276A5">
              <w:rPr>
                <w:rFonts w:ascii="Times New Roman" w:hAnsi="Times New Roman" w:cs="Times New Roman"/>
                <w:sz w:val="20"/>
                <w:szCs w:val="20"/>
              </w:rPr>
              <w:t>***</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w:t>
            </w:r>
            <w:r w:rsidR="00695C5A">
              <w:rPr>
                <w:rFonts w:ascii="Times New Roman" w:hAnsi="Times New Roman" w:cs="Times New Roman"/>
                <w:sz w:val="28"/>
                <w:szCs w:val="20"/>
                <w:vertAlign w:val="superscript"/>
              </w:rPr>
              <w:t>0.1708</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E52521" w:rsidP="008136EA">
            <w:pPr>
              <w:jc w:val="center"/>
              <w:rPr>
                <w:rFonts w:ascii="Times New Roman" w:hAnsi="Times New Roman" w:cs="Times New Roman"/>
                <w:sz w:val="20"/>
                <w:szCs w:val="20"/>
              </w:rPr>
            </w:pPr>
            <w:r>
              <w:rPr>
                <w:rFonts w:ascii="Times New Roman" w:hAnsi="Times New Roman" w:cs="Times New Roman"/>
                <w:sz w:val="20"/>
                <w:szCs w:val="20"/>
              </w:rPr>
              <w:t>-1.2937</w:t>
            </w:r>
            <w:r w:rsidR="009276A5">
              <w:rPr>
                <w:rFonts w:ascii="Times New Roman" w:hAnsi="Times New Roman" w:cs="Times New Roman"/>
                <w:sz w:val="20"/>
                <w:szCs w:val="20"/>
              </w:rPr>
              <w:t>***</w:t>
            </w:r>
          </w:p>
          <w:p w:rsidR="009276A5" w:rsidRPr="00AB0CE3" w:rsidRDefault="00E52521"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(0.1694</w:t>
            </w:r>
            <w:r w:rsidR="009276A5" w:rsidRPr="00AB0CE3">
              <w:rPr>
                <w:rFonts w:ascii="Times New Roman" w:hAnsi="Times New Roman" w:cs="Times New Roman"/>
                <w:sz w:val="28"/>
                <w:szCs w:val="20"/>
                <w:vertAlign w:val="superscript"/>
              </w:rPr>
              <w:t>)</w:t>
            </w:r>
          </w:p>
        </w:tc>
      </w:tr>
      <w:tr w:rsidR="009276A5" w:rsidTr="008136EA">
        <w:tc>
          <w:tcPr>
            <w:tcW w:w="1789" w:type="dxa"/>
            <w:tcBorders>
              <w:top w:val="nil"/>
              <w:left w:val="nil"/>
              <w:bottom w:val="nil"/>
              <w:right w:val="nil"/>
            </w:tcBorders>
          </w:tcPr>
          <w:p w:rsidR="009276A5" w:rsidRDefault="009276A5" w:rsidP="008136EA">
            <w:pPr>
              <w:rPr>
                <w:rFonts w:ascii="Times New Roman" w:hAnsi="Times New Roman" w:cs="Times New Roman"/>
                <w:i/>
                <w:sz w:val="20"/>
                <w:szCs w:val="20"/>
                <w:vertAlign w:val="subscript"/>
              </w:rPr>
            </w:pPr>
            <w:r>
              <w:rPr>
                <w:rFonts w:ascii="Times New Roman" w:hAnsi="Times New Roman" w:cs="Times New Roman"/>
                <w:i/>
                <w:sz w:val="20"/>
                <w:szCs w:val="20"/>
              </w:rPr>
              <w:t>Ppeb</w:t>
            </w:r>
            <w:r w:rsidRPr="009A001F">
              <w:rPr>
                <w:rFonts w:ascii="Times New Roman" w:hAnsi="Times New Roman" w:cs="Times New Roman"/>
                <w:i/>
                <w:sz w:val="20"/>
                <w:szCs w:val="20"/>
                <w:vertAlign w:val="subscript"/>
              </w:rPr>
              <w:t>i,t</w:t>
            </w:r>
          </w:p>
          <w:p w:rsidR="009276A5" w:rsidRDefault="009276A5" w:rsidP="008136EA">
            <w:pPr>
              <w:rPr>
                <w:rFonts w:ascii="Times New Roman" w:hAnsi="Times New Roman" w:cs="Times New Roman"/>
                <w:i/>
                <w:sz w:val="20"/>
                <w:szCs w:val="20"/>
              </w:rPr>
            </w:pP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-1.6189</w:t>
            </w:r>
            <w:r w:rsidRPr="00954DE4">
              <w:rPr>
                <w:rFonts w:ascii="Times New Roman" w:hAnsi="Times New Roman" w:cs="Times New Roman"/>
                <w:sz w:val="20"/>
                <w:szCs w:val="20"/>
              </w:rPr>
              <w:t>***</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(0.2043</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-1.5054***</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(0.2064</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-1.5757</w:t>
            </w:r>
            <w:r w:rsidR="009276A5">
              <w:rPr>
                <w:rFonts w:ascii="Times New Roman" w:hAnsi="Times New Roman" w:cs="Times New Roman"/>
                <w:sz w:val="20"/>
                <w:szCs w:val="20"/>
              </w:rPr>
              <w:t>***</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(0.2097</w:t>
            </w:r>
            <w:r w:rsidR="009276A5"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-2.0257</w:t>
            </w:r>
            <w:r w:rsidR="009276A5">
              <w:rPr>
                <w:rFonts w:ascii="Times New Roman" w:hAnsi="Times New Roman" w:cs="Times New Roman"/>
                <w:sz w:val="20"/>
                <w:szCs w:val="20"/>
              </w:rPr>
              <w:t>***</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(0.2023</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-1.9762</w:t>
            </w:r>
            <w:r w:rsidR="009276A5" w:rsidRPr="00954DE4">
              <w:rPr>
                <w:rFonts w:ascii="Times New Roman" w:hAnsi="Times New Roman" w:cs="Times New Roman"/>
                <w:sz w:val="20"/>
                <w:szCs w:val="20"/>
              </w:rPr>
              <w:t>***</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(0.2992</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-1.7740</w:t>
            </w:r>
            <w:r w:rsidR="009276A5">
              <w:rPr>
                <w:rFonts w:ascii="Times New Roman" w:hAnsi="Times New Roman" w:cs="Times New Roman"/>
                <w:sz w:val="20"/>
                <w:szCs w:val="20"/>
              </w:rPr>
              <w:t>***</w:t>
            </w:r>
          </w:p>
          <w:p w:rsidR="009276A5" w:rsidRPr="00AB0CE3"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(0.2979</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-1.9548</w:t>
            </w:r>
            <w:r w:rsidR="009276A5">
              <w:rPr>
                <w:rFonts w:ascii="Times New Roman" w:hAnsi="Times New Roman" w:cs="Times New Roman"/>
                <w:sz w:val="20"/>
                <w:szCs w:val="20"/>
              </w:rPr>
              <w:t>***</w:t>
            </w:r>
          </w:p>
          <w:p w:rsidR="009276A5" w:rsidRPr="00AB0CE3"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(0.2988</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E52521" w:rsidP="008136EA">
            <w:pPr>
              <w:jc w:val="center"/>
              <w:rPr>
                <w:rFonts w:ascii="Times New Roman" w:hAnsi="Times New Roman" w:cs="Times New Roman"/>
                <w:sz w:val="20"/>
                <w:szCs w:val="20"/>
              </w:rPr>
            </w:pPr>
            <w:r>
              <w:rPr>
                <w:rFonts w:ascii="Times New Roman" w:hAnsi="Times New Roman" w:cs="Times New Roman"/>
                <w:sz w:val="20"/>
                <w:szCs w:val="20"/>
              </w:rPr>
              <w:t>-2.6246</w:t>
            </w:r>
            <w:r w:rsidR="009276A5">
              <w:rPr>
                <w:rFonts w:ascii="Times New Roman" w:hAnsi="Times New Roman" w:cs="Times New Roman"/>
                <w:sz w:val="20"/>
                <w:szCs w:val="20"/>
              </w:rPr>
              <w:t>***</w:t>
            </w:r>
          </w:p>
          <w:p w:rsidR="009276A5" w:rsidRPr="00AB0CE3" w:rsidRDefault="00E52521"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(0.2765</w:t>
            </w:r>
            <w:r w:rsidR="009276A5" w:rsidRPr="00AB0CE3">
              <w:rPr>
                <w:rFonts w:ascii="Times New Roman" w:hAnsi="Times New Roman" w:cs="Times New Roman"/>
                <w:sz w:val="28"/>
                <w:szCs w:val="20"/>
                <w:vertAlign w:val="superscript"/>
              </w:rPr>
              <w:t>)</w:t>
            </w:r>
          </w:p>
        </w:tc>
      </w:tr>
      <w:tr w:rsidR="009276A5" w:rsidTr="008136EA">
        <w:tc>
          <w:tcPr>
            <w:tcW w:w="1789" w:type="dxa"/>
            <w:tcBorders>
              <w:top w:val="nil"/>
              <w:left w:val="nil"/>
              <w:bottom w:val="nil"/>
              <w:right w:val="nil"/>
            </w:tcBorders>
          </w:tcPr>
          <w:p w:rsidR="009276A5" w:rsidRDefault="009276A5" w:rsidP="008136EA">
            <w:pPr>
              <w:rPr>
                <w:rFonts w:ascii="Times New Roman" w:hAnsi="Times New Roman" w:cs="Times New Roman"/>
                <w:i/>
                <w:sz w:val="20"/>
                <w:szCs w:val="20"/>
                <w:vertAlign w:val="subscript"/>
              </w:rPr>
            </w:pPr>
            <w:r>
              <w:rPr>
                <w:rFonts w:ascii="Times New Roman" w:hAnsi="Times New Roman" w:cs="Times New Roman"/>
                <w:i/>
                <w:sz w:val="20"/>
                <w:szCs w:val="20"/>
              </w:rPr>
              <w:t>Roa</w:t>
            </w:r>
            <w:r w:rsidRPr="009A001F">
              <w:rPr>
                <w:rFonts w:ascii="Times New Roman" w:hAnsi="Times New Roman" w:cs="Times New Roman"/>
                <w:i/>
                <w:sz w:val="20"/>
                <w:szCs w:val="20"/>
                <w:vertAlign w:val="subscript"/>
              </w:rPr>
              <w:t>i,t</w:t>
            </w:r>
          </w:p>
          <w:p w:rsidR="009276A5" w:rsidRDefault="009276A5" w:rsidP="008136EA">
            <w:pPr>
              <w:rPr>
                <w:rFonts w:ascii="Times New Roman" w:hAnsi="Times New Roman" w:cs="Times New Roman"/>
                <w:i/>
                <w:sz w:val="20"/>
                <w:szCs w:val="20"/>
              </w:rPr>
            </w:pP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7.5698</w:t>
            </w:r>
            <w:r w:rsidRPr="00954DE4">
              <w:rPr>
                <w:rFonts w:ascii="Times New Roman" w:hAnsi="Times New Roman" w:cs="Times New Roman"/>
                <w:sz w:val="20"/>
                <w:szCs w:val="20"/>
              </w:rPr>
              <w:t>*</w:t>
            </w:r>
            <w:r>
              <w:rPr>
                <w:rFonts w:ascii="Times New Roman" w:hAnsi="Times New Roman" w:cs="Times New Roman"/>
                <w:sz w:val="20"/>
                <w:szCs w:val="20"/>
              </w:rPr>
              <w:t>**</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(0.7148</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6.9109***</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(0.7154</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7.0426</w:t>
            </w:r>
            <w:r w:rsidR="009276A5">
              <w:rPr>
                <w:rFonts w:ascii="Times New Roman" w:hAnsi="Times New Roman" w:cs="Times New Roman"/>
                <w:sz w:val="20"/>
                <w:szCs w:val="20"/>
              </w:rPr>
              <w:t>***</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(0.7672</w:t>
            </w:r>
            <w:r w:rsidR="009276A5"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7.6225</w:t>
            </w:r>
            <w:r w:rsidR="009276A5">
              <w:rPr>
                <w:rFonts w:ascii="Times New Roman" w:hAnsi="Times New Roman" w:cs="Times New Roman"/>
                <w:sz w:val="20"/>
                <w:szCs w:val="20"/>
              </w:rPr>
              <w:t>***</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w:t>
            </w:r>
            <w:r w:rsidR="001C6DF7">
              <w:rPr>
                <w:rFonts w:ascii="Times New Roman" w:hAnsi="Times New Roman" w:cs="Times New Roman"/>
                <w:sz w:val="28"/>
                <w:szCs w:val="20"/>
                <w:vertAlign w:val="superscript"/>
              </w:rPr>
              <w:t>6285</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7.5939***</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(0.5298</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6.5387***</w:t>
            </w:r>
          </w:p>
          <w:p w:rsidR="009276A5" w:rsidRPr="00AB0CE3"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(0.5571</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7.0562</w:t>
            </w:r>
            <w:r w:rsidR="009276A5">
              <w:rPr>
                <w:rFonts w:ascii="Times New Roman" w:hAnsi="Times New Roman" w:cs="Times New Roman"/>
                <w:sz w:val="20"/>
                <w:szCs w:val="20"/>
              </w:rPr>
              <w:t>***</w:t>
            </w:r>
          </w:p>
          <w:p w:rsidR="009276A5" w:rsidRPr="00AB0CE3"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(0.5752</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E52521" w:rsidP="008136EA">
            <w:pPr>
              <w:jc w:val="center"/>
              <w:rPr>
                <w:rFonts w:ascii="Times New Roman" w:hAnsi="Times New Roman" w:cs="Times New Roman"/>
                <w:sz w:val="20"/>
                <w:szCs w:val="20"/>
              </w:rPr>
            </w:pPr>
            <w:r>
              <w:rPr>
                <w:rFonts w:ascii="Times New Roman" w:hAnsi="Times New Roman" w:cs="Times New Roman"/>
                <w:sz w:val="20"/>
                <w:szCs w:val="20"/>
              </w:rPr>
              <w:t>7.4685*</w:t>
            </w:r>
            <w:r w:rsidR="009276A5">
              <w:rPr>
                <w:rFonts w:ascii="Times New Roman" w:hAnsi="Times New Roman" w:cs="Times New Roman"/>
                <w:sz w:val="20"/>
                <w:szCs w:val="20"/>
              </w:rPr>
              <w:t>**</w:t>
            </w:r>
          </w:p>
          <w:p w:rsidR="009276A5" w:rsidRPr="00AB0CE3" w:rsidRDefault="00E52521"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(0.4448</w:t>
            </w:r>
            <w:r w:rsidR="009276A5" w:rsidRPr="00AB0CE3">
              <w:rPr>
                <w:rFonts w:ascii="Times New Roman" w:hAnsi="Times New Roman" w:cs="Times New Roman"/>
                <w:sz w:val="28"/>
                <w:szCs w:val="20"/>
                <w:vertAlign w:val="superscript"/>
              </w:rPr>
              <w:t>)</w:t>
            </w:r>
          </w:p>
        </w:tc>
      </w:tr>
      <w:tr w:rsidR="009276A5" w:rsidTr="008136EA">
        <w:tc>
          <w:tcPr>
            <w:tcW w:w="1789" w:type="dxa"/>
            <w:tcBorders>
              <w:top w:val="nil"/>
              <w:left w:val="nil"/>
              <w:bottom w:val="nil"/>
              <w:right w:val="nil"/>
            </w:tcBorders>
          </w:tcPr>
          <w:p w:rsidR="009276A5" w:rsidRDefault="009276A5" w:rsidP="008136EA">
            <w:pPr>
              <w:rPr>
                <w:rFonts w:ascii="Times New Roman" w:hAnsi="Times New Roman" w:cs="Times New Roman"/>
                <w:i/>
                <w:sz w:val="20"/>
                <w:szCs w:val="20"/>
                <w:vertAlign w:val="subscript"/>
              </w:rPr>
            </w:pPr>
            <w:r>
              <w:rPr>
                <w:rFonts w:ascii="Times New Roman" w:hAnsi="Times New Roman" w:cs="Times New Roman"/>
                <w:i/>
                <w:sz w:val="20"/>
                <w:szCs w:val="20"/>
              </w:rPr>
              <w:t>Divs</w:t>
            </w:r>
            <w:r w:rsidRPr="009A001F">
              <w:rPr>
                <w:rFonts w:ascii="Times New Roman" w:hAnsi="Times New Roman" w:cs="Times New Roman"/>
                <w:i/>
                <w:sz w:val="20"/>
                <w:szCs w:val="20"/>
                <w:vertAlign w:val="subscript"/>
              </w:rPr>
              <w:t>i,t</w:t>
            </w:r>
          </w:p>
          <w:p w:rsidR="009276A5" w:rsidRDefault="009276A5" w:rsidP="008136EA">
            <w:pPr>
              <w:rPr>
                <w:rFonts w:ascii="Times New Roman" w:hAnsi="Times New Roman" w:cs="Times New Roman"/>
                <w:i/>
                <w:sz w:val="20"/>
                <w:szCs w:val="20"/>
              </w:rPr>
            </w:pP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0.0504</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(0.0985</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-0.0310</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(0.0990</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0.0138</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(0.0978</w:t>
            </w:r>
            <w:r w:rsidR="009276A5"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0.0464</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(0.0837</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0.1890</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(0.1223</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0.0741</w:t>
            </w:r>
          </w:p>
          <w:p w:rsidR="009276A5" w:rsidRPr="00AB0CE3"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(0.1226</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0.1437</w:t>
            </w:r>
          </w:p>
          <w:p w:rsidR="009276A5" w:rsidRPr="00AB0CE3"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(0.1235</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E52521" w:rsidP="008136EA">
            <w:pPr>
              <w:jc w:val="center"/>
              <w:rPr>
                <w:rFonts w:ascii="Times New Roman" w:hAnsi="Times New Roman" w:cs="Times New Roman"/>
                <w:sz w:val="20"/>
                <w:szCs w:val="20"/>
              </w:rPr>
            </w:pPr>
            <w:r>
              <w:rPr>
                <w:rFonts w:ascii="Times New Roman" w:hAnsi="Times New Roman" w:cs="Times New Roman"/>
                <w:sz w:val="20"/>
                <w:szCs w:val="20"/>
              </w:rPr>
              <w:t>0.0656</w:t>
            </w:r>
          </w:p>
          <w:p w:rsidR="009276A5" w:rsidRPr="00AB0CE3" w:rsidRDefault="00E52521"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(0.1164</w:t>
            </w:r>
            <w:r w:rsidR="009276A5" w:rsidRPr="00AB0CE3">
              <w:rPr>
                <w:rFonts w:ascii="Times New Roman" w:hAnsi="Times New Roman" w:cs="Times New Roman"/>
                <w:sz w:val="28"/>
                <w:szCs w:val="20"/>
                <w:vertAlign w:val="superscript"/>
              </w:rPr>
              <w:t>)</w:t>
            </w:r>
          </w:p>
        </w:tc>
      </w:tr>
      <w:tr w:rsidR="009276A5" w:rsidTr="008136EA">
        <w:tc>
          <w:tcPr>
            <w:tcW w:w="1789" w:type="dxa"/>
            <w:tcBorders>
              <w:top w:val="nil"/>
              <w:left w:val="nil"/>
              <w:bottom w:val="nil"/>
              <w:right w:val="nil"/>
            </w:tcBorders>
          </w:tcPr>
          <w:p w:rsidR="009276A5" w:rsidRDefault="009276A5" w:rsidP="008136EA">
            <w:pPr>
              <w:rPr>
                <w:rFonts w:ascii="Times New Roman" w:hAnsi="Times New Roman" w:cs="Times New Roman"/>
                <w:i/>
                <w:sz w:val="20"/>
                <w:szCs w:val="20"/>
                <w:vertAlign w:val="subscript"/>
              </w:rPr>
            </w:pPr>
            <w:r>
              <w:rPr>
                <w:rFonts w:ascii="Times New Roman" w:hAnsi="Times New Roman" w:cs="Times New Roman"/>
                <w:i/>
                <w:sz w:val="20"/>
                <w:szCs w:val="20"/>
              </w:rPr>
              <w:t>Rd</w:t>
            </w:r>
            <w:r w:rsidRPr="009A001F">
              <w:rPr>
                <w:rFonts w:ascii="Times New Roman" w:hAnsi="Times New Roman" w:cs="Times New Roman"/>
                <w:i/>
                <w:sz w:val="20"/>
                <w:szCs w:val="20"/>
                <w:vertAlign w:val="subscript"/>
              </w:rPr>
              <w:t>i,t</w:t>
            </w:r>
          </w:p>
          <w:p w:rsidR="009276A5" w:rsidRDefault="009276A5" w:rsidP="008136EA">
            <w:pPr>
              <w:rPr>
                <w:rFonts w:ascii="Times New Roman" w:hAnsi="Times New Roman" w:cs="Times New Roman"/>
                <w:i/>
                <w:sz w:val="20"/>
                <w:szCs w:val="20"/>
              </w:rPr>
            </w:pP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1.0072***</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(0.3725</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1.0901***</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(0.3705</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1.0858</w:t>
            </w:r>
            <w:r w:rsidR="009276A5">
              <w:rPr>
                <w:rFonts w:ascii="Times New Roman" w:hAnsi="Times New Roman" w:cs="Times New Roman"/>
                <w:sz w:val="20"/>
                <w:szCs w:val="20"/>
              </w:rPr>
              <w:t>***</w:t>
            </w:r>
          </w:p>
          <w:p w:rsidR="009276A5" w:rsidRPr="001C6DF7" w:rsidRDefault="001C6DF7" w:rsidP="001C6DF7">
            <w:pPr>
              <w:jc w:val="center"/>
              <w:rPr>
                <w:rFonts w:ascii="Times New Roman" w:hAnsi="Times New Roman" w:cs="Times New Roman"/>
                <w:sz w:val="28"/>
                <w:szCs w:val="20"/>
                <w:vertAlign w:val="superscript"/>
              </w:rPr>
            </w:pPr>
            <w:r>
              <w:rPr>
                <w:rFonts w:ascii="Times New Roman" w:hAnsi="Times New Roman" w:cs="Times New Roman"/>
                <w:sz w:val="28"/>
                <w:szCs w:val="20"/>
                <w:vertAlign w:val="superscript"/>
              </w:rPr>
              <w:t>(0.3772</w:t>
            </w:r>
            <w:r w:rsidR="009276A5"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1.2374*</w:t>
            </w:r>
            <w:r w:rsidR="009276A5">
              <w:rPr>
                <w:rFonts w:ascii="Times New Roman" w:hAnsi="Times New Roman" w:cs="Times New Roman"/>
                <w:sz w:val="20"/>
                <w:szCs w:val="20"/>
              </w:rPr>
              <w:t>**</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(0.2883</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1.2498*</w:t>
            </w:r>
            <w:r w:rsidR="009276A5">
              <w:rPr>
                <w:rFonts w:ascii="Times New Roman" w:hAnsi="Times New Roman" w:cs="Times New Roman"/>
                <w:sz w:val="20"/>
                <w:szCs w:val="20"/>
              </w:rPr>
              <w:t>**</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(0.2729</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1.3386</w:t>
            </w:r>
            <w:r w:rsidR="009276A5">
              <w:rPr>
                <w:rFonts w:ascii="Times New Roman" w:hAnsi="Times New Roman" w:cs="Times New Roman"/>
                <w:sz w:val="20"/>
                <w:szCs w:val="20"/>
              </w:rPr>
              <w:t>***</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w:t>
            </w:r>
            <w:r w:rsidR="00695C5A">
              <w:rPr>
                <w:rFonts w:ascii="Times New Roman" w:hAnsi="Times New Roman" w:cs="Times New Roman"/>
                <w:sz w:val="28"/>
                <w:szCs w:val="20"/>
                <w:vertAlign w:val="superscript"/>
              </w:rPr>
              <w:t>2700</w:t>
            </w:r>
            <w:r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1.2905</w:t>
            </w:r>
            <w:r w:rsidR="009276A5">
              <w:rPr>
                <w:rFonts w:ascii="Times New Roman" w:hAnsi="Times New Roman" w:cs="Times New Roman"/>
                <w:sz w:val="20"/>
                <w:szCs w:val="20"/>
              </w:rPr>
              <w:t>***</w:t>
            </w:r>
          </w:p>
          <w:p w:rsidR="009276A5" w:rsidRPr="00AB0CE3"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(0.2729</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E52521" w:rsidP="008136EA">
            <w:pPr>
              <w:jc w:val="center"/>
              <w:rPr>
                <w:rFonts w:ascii="Times New Roman" w:hAnsi="Times New Roman" w:cs="Times New Roman"/>
                <w:sz w:val="20"/>
                <w:szCs w:val="20"/>
              </w:rPr>
            </w:pPr>
            <w:r>
              <w:rPr>
                <w:rFonts w:ascii="Times New Roman" w:hAnsi="Times New Roman" w:cs="Times New Roman"/>
                <w:sz w:val="20"/>
                <w:szCs w:val="20"/>
              </w:rPr>
              <w:t>1.3082</w:t>
            </w:r>
            <w:r w:rsidR="009276A5">
              <w:rPr>
                <w:rFonts w:ascii="Times New Roman" w:hAnsi="Times New Roman" w:cs="Times New Roman"/>
                <w:sz w:val="20"/>
                <w:szCs w:val="20"/>
              </w:rPr>
              <w:t>***</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w:t>
            </w:r>
            <w:r w:rsidR="00E52521">
              <w:rPr>
                <w:rFonts w:ascii="Times New Roman" w:hAnsi="Times New Roman" w:cs="Times New Roman"/>
                <w:sz w:val="28"/>
                <w:szCs w:val="20"/>
                <w:vertAlign w:val="superscript"/>
              </w:rPr>
              <w:t>.2111</w:t>
            </w:r>
            <w:r w:rsidRPr="00AB0CE3">
              <w:rPr>
                <w:rFonts w:ascii="Times New Roman" w:hAnsi="Times New Roman" w:cs="Times New Roman"/>
                <w:sz w:val="28"/>
                <w:szCs w:val="20"/>
                <w:vertAlign w:val="superscript"/>
              </w:rPr>
              <w:t>)</w:t>
            </w:r>
          </w:p>
        </w:tc>
      </w:tr>
      <w:tr w:rsidR="009276A5" w:rsidTr="008136EA">
        <w:tc>
          <w:tcPr>
            <w:tcW w:w="1789" w:type="dxa"/>
            <w:tcBorders>
              <w:top w:val="nil"/>
              <w:left w:val="nil"/>
              <w:bottom w:val="nil"/>
              <w:right w:val="nil"/>
            </w:tcBorders>
          </w:tcPr>
          <w:p w:rsidR="009276A5" w:rsidRDefault="009276A5" w:rsidP="008136EA">
            <w:pPr>
              <w:rPr>
                <w:rFonts w:ascii="Times New Roman" w:hAnsi="Times New Roman" w:cs="Times New Roman"/>
                <w:i/>
                <w:sz w:val="20"/>
                <w:szCs w:val="20"/>
                <w:vertAlign w:val="subscript"/>
              </w:rPr>
            </w:pPr>
            <w:r>
              <w:rPr>
                <w:rFonts w:ascii="Times New Roman" w:hAnsi="Times New Roman" w:cs="Times New Roman"/>
                <w:i/>
                <w:sz w:val="20"/>
                <w:szCs w:val="20"/>
              </w:rPr>
              <w:t>Adv</w:t>
            </w:r>
            <w:r w:rsidRPr="009A001F">
              <w:rPr>
                <w:rFonts w:ascii="Times New Roman" w:hAnsi="Times New Roman" w:cs="Times New Roman"/>
                <w:i/>
                <w:sz w:val="20"/>
                <w:szCs w:val="20"/>
                <w:vertAlign w:val="subscript"/>
              </w:rPr>
              <w:t>i,t</w:t>
            </w:r>
          </w:p>
          <w:p w:rsidR="009276A5" w:rsidRDefault="009276A5" w:rsidP="008136EA">
            <w:pPr>
              <w:rPr>
                <w:rFonts w:ascii="Times New Roman" w:hAnsi="Times New Roman" w:cs="Times New Roman"/>
                <w:i/>
                <w:sz w:val="20"/>
                <w:szCs w:val="20"/>
              </w:rPr>
            </w:pP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-2.2207*</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(0.3725</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-2.2271*</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(1.2139</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-2.1083*</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(1.2349</w:t>
            </w:r>
            <w:r w:rsidR="009276A5"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-0.1689</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(0.3831</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-2.2292</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(1.8766</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-2.2675</w:t>
            </w:r>
          </w:p>
          <w:p w:rsidR="009276A5" w:rsidRPr="00AB0CE3"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(1.8539</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-2.2035</w:t>
            </w:r>
          </w:p>
          <w:p w:rsidR="009276A5" w:rsidRPr="00AB0CE3"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(1.8730</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E52521" w:rsidP="008136EA">
            <w:pPr>
              <w:jc w:val="center"/>
              <w:rPr>
                <w:rFonts w:ascii="Times New Roman" w:hAnsi="Times New Roman" w:cs="Times New Roman"/>
                <w:sz w:val="20"/>
                <w:szCs w:val="20"/>
              </w:rPr>
            </w:pPr>
            <w:r>
              <w:rPr>
                <w:rFonts w:ascii="Times New Roman" w:hAnsi="Times New Roman" w:cs="Times New Roman"/>
                <w:sz w:val="20"/>
                <w:szCs w:val="20"/>
              </w:rPr>
              <w:t>-0.2985</w:t>
            </w:r>
          </w:p>
          <w:p w:rsidR="009276A5" w:rsidRPr="00AB0CE3" w:rsidRDefault="00E52521"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(0.8781</w:t>
            </w:r>
            <w:r w:rsidR="009276A5" w:rsidRPr="00AB0CE3">
              <w:rPr>
                <w:rFonts w:ascii="Times New Roman" w:hAnsi="Times New Roman" w:cs="Times New Roman"/>
                <w:sz w:val="28"/>
                <w:szCs w:val="20"/>
                <w:vertAlign w:val="superscript"/>
              </w:rPr>
              <w:t>)</w:t>
            </w:r>
          </w:p>
        </w:tc>
      </w:tr>
      <w:tr w:rsidR="009276A5" w:rsidTr="008136EA">
        <w:tc>
          <w:tcPr>
            <w:tcW w:w="1789" w:type="dxa"/>
            <w:tcBorders>
              <w:top w:val="nil"/>
              <w:left w:val="nil"/>
              <w:bottom w:val="nil"/>
              <w:right w:val="nil"/>
            </w:tcBorders>
          </w:tcPr>
          <w:p w:rsidR="009276A5" w:rsidRDefault="009276A5" w:rsidP="008136EA">
            <w:pPr>
              <w:rPr>
                <w:rFonts w:ascii="Times New Roman" w:hAnsi="Times New Roman" w:cs="Times New Roman"/>
                <w:i/>
                <w:sz w:val="20"/>
                <w:szCs w:val="20"/>
                <w:vertAlign w:val="subscript"/>
              </w:rPr>
            </w:pPr>
            <w:r>
              <w:rPr>
                <w:rFonts w:ascii="Times New Roman" w:hAnsi="Times New Roman" w:cs="Times New Roman"/>
                <w:i/>
                <w:sz w:val="20"/>
                <w:szCs w:val="20"/>
              </w:rPr>
              <w:t>Mb</w:t>
            </w:r>
            <w:r w:rsidRPr="009A001F">
              <w:rPr>
                <w:rFonts w:ascii="Times New Roman" w:hAnsi="Times New Roman" w:cs="Times New Roman"/>
                <w:i/>
                <w:sz w:val="20"/>
                <w:szCs w:val="20"/>
                <w:vertAlign w:val="subscript"/>
              </w:rPr>
              <w:t>i,t</w:t>
            </w:r>
          </w:p>
          <w:p w:rsidR="009276A5" w:rsidRDefault="009276A5" w:rsidP="008136EA">
            <w:pPr>
              <w:rPr>
                <w:rFonts w:ascii="Times New Roman" w:hAnsi="Times New Roman" w:cs="Times New Roman"/>
                <w:i/>
                <w:sz w:val="20"/>
                <w:szCs w:val="20"/>
              </w:rPr>
            </w:pPr>
          </w:p>
        </w:tc>
        <w:tc>
          <w:tcPr>
            <w:tcW w:w="1587" w:type="dxa"/>
            <w:tcBorders>
              <w:top w:val="nil"/>
              <w:left w:val="nil"/>
              <w:bottom w:val="nil"/>
              <w:right w:val="nil"/>
            </w:tcBorders>
          </w:tcPr>
          <w:p w:rsidR="009276A5" w:rsidRDefault="009276A5" w:rsidP="008136EA">
            <w:pPr>
              <w:jc w:val="center"/>
              <w:rPr>
                <w:rFonts w:ascii="Times New Roman" w:hAnsi="Times New Roman" w:cs="Times New Roman"/>
                <w:sz w:val="20"/>
                <w:szCs w:val="20"/>
              </w:rPr>
            </w:pPr>
            <w:r>
              <w:rPr>
                <w:rFonts w:ascii="Times New Roman" w:hAnsi="Times New Roman" w:cs="Times New Roman"/>
                <w:sz w:val="20"/>
                <w:szCs w:val="20"/>
              </w:rPr>
              <w:t>0.1111**</w:t>
            </w:r>
          </w:p>
          <w:p w:rsidR="009276A5" w:rsidRPr="00AB0CE3" w:rsidRDefault="009276A5"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(0.0495</w:t>
            </w:r>
            <w:r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0.1157</w:t>
            </w:r>
            <w:r w:rsidR="009276A5">
              <w:rPr>
                <w:rFonts w:ascii="Times New Roman" w:hAnsi="Times New Roman" w:cs="Times New Roman"/>
                <w:sz w:val="20"/>
                <w:szCs w:val="20"/>
              </w:rPr>
              <w:t>**</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(0.0491</w:t>
            </w:r>
            <w:r w:rsidR="009276A5" w:rsidRPr="00AB0CE3">
              <w:rPr>
                <w:rFonts w:ascii="Times New Roman" w:hAnsi="Times New Roman" w:cs="Times New Roman"/>
                <w:sz w:val="28"/>
                <w:szCs w:val="20"/>
                <w:vertAlign w:val="superscript"/>
              </w:rPr>
              <w:t>)</w:t>
            </w:r>
          </w:p>
        </w:tc>
        <w:tc>
          <w:tcPr>
            <w:tcW w:w="1587"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0.1203</w:t>
            </w:r>
            <w:r w:rsidR="009276A5">
              <w:rPr>
                <w:rFonts w:ascii="Times New Roman" w:hAnsi="Times New Roman" w:cs="Times New Roman"/>
                <w:sz w:val="20"/>
                <w:szCs w:val="20"/>
              </w:rPr>
              <w:t>***</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(0.0495</w:t>
            </w:r>
            <w:r w:rsidR="009276A5" w:rsidRPr="00AB0CE3">
              <w:rPr>
                <w:rFonts w:ascii="Times New Roman" w:hAnsi="Times New Roman" w:cs="Times New Roman"/>
                <w:sz w:val="28"/>
                <w:szCs w:val="20"/>
                <w:vertAlign w:val="superscript"/>
              </w:rPr>
              <w:t>)</w:t>
            </w:r>
          </w:p>
        </w:tc>
        <w:tc>
          <w:tcPr>
            <w:tcW w:w="1586"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0.0103</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(0.0235</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1C6DF7" w:rsidP="008136EA">
            <w:pPr>
              <w:jc w:val="center"/>
              <w:rPr>
                <w:rFonts w:ascii="Times New Roman" w:hAnsi="Times New Roman" w:cs="Times New Roman"/>
                <w:sz w:val="20"/>
                <w:szCs w:val="20"/>
              </w:rPr>
            </w:pPr>
            <w:r>
              <w:rPr>
                <w:rFonts w:ascii="Times New Roman" w:hAnsi="Times New Roman" w:cs="Times New Roman"/>
                <w:sz w:val="20"/>
                <w:szCs w:val="20"/>
              </w:rPr>
              <w:t>0.0694</w:t>
            </w:r>
            <w:r w:rsidR="009276A5">
              <w:rPr>
                <w:rFonts w:ascii="Times New Roman" w:hAnsi="Times New Roman" w:cs="Times New Roman"/>
                <w:sz w:val="20"/>
                <w:szCs w:val="20"/>
              </w:rPr>
              <w:t>*</w:t>
            </w:r>
          </w:p>
          <w:p w:rsidR="009276A5" w:rsidRPr="00AB0CE3" w:rsidRDefault="001C6DF7"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(0.0411</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0.0714</w:t>
            </w:r>
            <w:r w:rsidR="009276A5">
              <w:rPr>
                <w:rFonts w:ascii="Times New Roman" w:hAnsi="Times New Roman" w:cs="Times New Roman"/>
                <w:sz w:val="20"/>
                <w:szCs w:val="20"/>
              </w:rPr>
              <w:t>*</w:t>
            </w:r>
          </w:p>
          <w:p w:rsidR="009276A5" w:rsidRPr="00AB0CE3"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(0.0406</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695C5A" w:rsidP="008136EA">
            <w:pPr>
              <w:jc w:val="center"/>
              <w:rPr>
                <w:rFonts w:ascii="Times New Roman" w:hAnsi="Times New Roman" w:cs="Times New Roman"/>
                <w:sz w:val="20"/>
                <w:szCs w:val="20"/>
              </w:rPr>
            </w:pPr>
            <w:r>
              <w:rPr>
                <w:rFonts w:ascii="Times New Roman" w:hAnsi="Times New Roman" w:cs="Times New Roman"/>
                <w:sz w:val="20"/>
                <w:szCs w:val="20"/>
              </w:rPr>
              <w:t>0.0699</w:t>
            </w:r>
            <w:r w:rsidR="009276A5">
              <w:rPr>
                <w:rFonts w:ascii="Times New Roman" w:hAnsi="Times New Roman" w:cs="Times New Roman"/>
                <w:sz w:val="20"/>
                <w:szCs w:val="20"/>
              </w:rPr>
              <w:t>*</w:t>
            </w:r>
          </w:p>
          <w:p w:rsidR="009276A5" w:rsidRPr="00AB0CE3" w:rsidRDefault="00695C5A"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(0.0410</w:t>
            </w:r>
            <w:r w:rsidR="009276A5" w:rsidRPr="00AB0CE3">
              <w:rPr>
                <w:rFonts w:ascii="Times New Roman" w:hAnsi="Times New Roman" w:cs="Times New Roman"/>
                <w:sz w:val="28"/>
                <w:szCs w:val="20"/>
                <w:vertAlign w:val="superscript"/>
              </w:rPr>
              <w:t>)</w:t>
            </w:r>
          </w:p>
        </w:tc>
        <w:tc>
          <w:tcPr>
            <w:tcW w:w="1260" w:type="dxa"/>
            <w:tcBorders>
              <w:top w:val="nil"/>
              <w:left w:val="nil"/>
              <w:bottom w:val="nil"/>
              <w:right w:val="nil"/>
            </w:tcBorders>
          </w:tcPr>
          <w:p w:rsidR="009276A5" w:rsidRDefault="00E52521" w:rsidP="008136EA">
            <w:pPr>
              <w:jc w:val="center"/>
              <w:rPr>
                <w:rFonts w:ascii="Times New Roman" w:hAnsi="Times New Roman" w:cs="Times New Roman"/>
                <w:sz w:val="20"/>
                <w:szCs w:val="20"/>
              </w:rPr>
            </w:pPr>
            <w:r>
              <w:rPr>
                <w:rFonts w:ascii="Times New Roman" w:hAnsi="Times New Roman" w:cs="Times New Roman"/>
                <w:sz w:val="20"/>
                <w:szCs w:val="20"/>
              </w:rPr>
              <w:t>-0.0285</w:t>
            </w:r>
          </w:p>
          <w:p w:rsidR="009276A5" w:rsidRPr="00AB0CE3" w:rsidRDefault="00E52521" w:rsidP="008136EA">
            <w:pPr>
              <w:jc w:val="center"/>
              <w:rPr>
                <w:rFonts w:ascii="Times New Roman" w:hAnsi="Times New Roman" w:cs="Times New Roman"/>
                <w:sz w:val="20"/>
                <w:szCs w:val="20"/>
                <w:vertAlign w:val="superscript"/>
              </w:rPr>
            </w:pPr>
            <w:r>
              <w:rPr>
                <w:rFonts w:ascii="Times New Roman" w:hAnsi="Times New Roman" w:cs="Times New Roman"/>
                <w:sz w:val="28"/>
                <w:szCs w:val="20"/>
                <w:vertAlign w:val="superscript"/>
              </w:rPr>
              <w:t>(0.0250</w:t>
            </w:r>
            <w:r w:rsidR="009276A5" w:rsidRPr="00AB0CE3">
              <w:rPr>
                <w:rFonts w:ascii="Times New Roman" w:hAnsi="Times New Roman" w:cs="Times New Roman"/>
                <w:sz w:val="28"/>
                <w:szCs w:val="20"/>
                <w:vertAlign w:val="superscript"/>
              </w:rPr>
              <w:t>)</w:t>
            </w:r>
          </w:p>
        </w:tc>
      </w:tr>
      <w:tr w:rsidR="009276A5" w:rsidTr="008136EA">
        <w:tc>
          <w:tcPr>
            <w:tcW w:w="1789" w:type="dxa"/>
            <w:tcBorders>
              <w:top w:val="nil"/>
              <w:left w:val="nil"/>
              <w:bottom w:val="nil"/>
              <w:right w:val="nil"/>
            </w:tcBorders>
          </w:tcPr>
          <w:p w:rsidR="009276A5" w:rsidRDefault="009276A5" w:rsidP="008136EA">
            <w:pPr>
              <w:rPr>
                <w:rFonts w:ascii="Times New Roman" w:hAnsi="Times New Roman" w:cs="Times New Roman"/>
                <w:i/>
                <w:sz w:val="20"/>
                <w:szCs w:val="20"/>
              </w:rPr>
            </w:pPr>
          </w:p>
        </w:tc>
        <w:tc>
          <w:tcPr>
            <w:tcW w:w="1587"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587"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587"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586"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p>
        </w:tc>
      </w:tr>
      <w:tr w:rsidR="009276A5" w:rsidTr="008136EA">
        <w:tc>
          <w:tcPr>
            <w:tcW w:w="1789" w:type="dxa"/>
            <w:tcBorders>
              <w:top w:val="nil"/>
              <w:left w:val="nil"/>
              <w:bottom w:val="nil"/>
              <w:right w:val="nil"/>
            </w:tcBorders>
          </w:tcPr>
          <w:p w:rsidR="009276A5" w:rsidRPr="00954DE4" w:rsidRDefault="009276A5" w:rsidP="008136EA">
            <w:pPr>
              <w:rPr>
                <w:rFonts w:ascii="Times New Roman" w:hAnsi="Times New Roman" w:cs="Times New Roman"/>
                <w:sz w:val="20"/>
                <w:szCs w:val="20"/>
              </w:rPr>
            </w:pPr>
            <w:r>
              <w:rPr>
                <w:rFonts w:ascii="Times New Roman" w:hAnsi="Times New Roman" w:cs="Times New Roman"/>
                <w:sz w:val="20"/>
                <w:szCs w:val="20"/>
              </w:rPr>
              <w:t>N</w:t>
            </w:r>
          </w:p>
        </w:tc>
        <w:tc>
          <w:tcPr>
            <w:tcW w:w="1587"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5066</w:t>
            </w:r>
          </w:p>
        </w:tc>
        <w:tc>
          <w:tcPr>
            <w:tcW w:w="1587"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5066</w:t>
            </w:r>
          </w:p>
        </w:tc>
        <w:tc>
          <w:tcPr>
            <w:tcW w:w="1587"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5066</w:t>
            </w:r>
          </w:p>
        </w:tc>
        <w:tc>
          <w:tcPr>
            <w:tcW w:w="1586"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5066</w:t>
            </w: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5066</w:t>
            </w: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5066</w:t>
            </w: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5066</w:t>
            </w:r>
          </w:p>
        </w:tc>
        <w:tc>
          <w:tcPr>
            <w:tcW w:w="1260" w:type="dxa"/>
            <w:tcBorders>
              <w:top w:val="nil"/>
              <w:left w:val="nil"/>
              <w:bottom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5066</w:t>
            </w:r>
          </w:p>
        </w:tc>
      </w:tr>
      <w:tr w:rsidR="009276A5" w:rsidTr="008136EA">
        <w:tc>
          <w:tcPr>
            <w:tcW w:w="1789" w:type="dxa"/>
            <w:tcBorders>
              <w:top w:val="nil"/>
              <w:left w:val="nil"/>
              <w:right w:val="nil"/>
            </w:tcBorders>
          </w:tcPr>
          <w:p w:rsidR="009276A5" w:rsidRPr="009A001F" w:rsidRDefault="009276A5" w:rsidP="008136EA">
            <w:pPr>
              <w:rPr>
                <w:rFonts w:ascii="Times New Roman" w:hAnsi="Times New Roman" w:cs="Times New Roman"/>
                <w:sz w:val="20"/>
                <w:szCs w:val="20"/>
              </w:rPr>
            </w:pPr>
            <w:r>
              <w:rPr>
                <w:rFonts w:ascii="Times New Roman" w:hAnsi="Times New Roman" w:cs="Times New Roman"/>
                <w:sz w:val="20"/>
                <w:szCs w:val="20"/>
              </w:rPr>
              <w:t>R</w:t>
            </w:r>
            <w:r w:rsidRPr="009A001F">
              <w:rPr>
                <w:rFonts w:ascii="Times New Roman" w:hAnsi="Times New Roman" w:cs="Times New Roman"/>
                <w:sz w:val="20"/>
                <w:szCs w:val="20"/>
                <w:vertAlign w:val="superscript"/>
              </w:rPr>
              <w:t>2</w:t>
            </w:r>
          </w:p>
        </w:tc>
        <w:tc>
          <w:tcPr>
            <w:tcW w:w="1587" w:type="dxa"/>
            <w:tcBorders>
              <w:top w:val="nil"/>
              <w:left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0.2317</w:t>
            </w:r>
          </w:p>
        </w:tc>
        <w:tc>
          <w:tcPr>
            <w:tcW w:w="1587" w:type="dxa"/>
            <w:tcBorders>
              <w:top w:val="nil"/>
              <w:left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0.2433</w:t>
            </w:r>
          </w:p>
        </w:tc>
        <w:tc>
          <w:tcPr>
            <w:tcW w:w="1587" w:type="dxa"/>
            <w:tcBorders>
              <w:top w:val="nil"/>
              <w:left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0.2358</w:t>
            </w:r>
          </w:p>
        </w:tc>
        <w:tc>
          <w:tcPr>
            <w:tcW w:w="1586" w:type="dxa"/>
            <w:tcBorders>
              <w:top w:val="nil"/>
              <w:left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0.2080</w:t>
            </w:r>
          </w:p>
        </w:tc>
        <w:tc>
          <w:tcPr>
            <w:tcW w:w="1260" w:type="dxa"/>
            <w:tcBorders>
              <w:top w:val="nil"/>
              <w:left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0.2306</w:t>
            </w:r>
          </w:p>
        </w:tc>
        <w:tc>
          <w:tcPr>
            <w:tcW w:w="1260" w:type="dxa"/>
            <w:tcBorders>
              <w:top w:val="nil"/>
              <w:left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0.2497</w:t>
            </w:r>
          </w:p>
        </w:tc>
        <w:tc>
          <w:tcPr>
            <w:tcW w:w="1260" w:type="dxa"/>
            <w:tcBorders>
              <w:top w:val="nil"/>
              <w:left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0.2342</w:t>
            </w:r>
          </w:p>
        </w:tc>
        <w:tc>
          <w:tcPr>
            <w:tcW w:w="1260" w:type="dxa"/>
            <w:tcBorders>
              <w:top w:val="nil"/>
              <w:left w:val="nil"/>
              <w:right w:val="nil"/>
            </w:tcBorders>
          </w:tcPr>
          <w:p w:rsidR="009276A5" w:rsidRPr="0075597C" w:rsidRDefault="009276A5" w:rsidP="008136EA">
            <w:pPr>
              <w:jc w:val="center"/>
              <w:rPr>
                <w:rFonts w:ascii="Times New Roman" w:hAnsi="Times New Roman" w:cs="Times New Roman"/>
                <w:sz w:val="20"/>
                <w:szCs w:val="20"/>
              </w:rPr>
            </w:pPr>
            <w:r>
              <w:rPr>
                <w:rFonts w:ascii="Times New Roman" w:hAnsi="Times New Roman" w:cs="Times New Roman"/>
                <w:sz w:val="20"/>
                <w:szCs w:val="20"/>
              </w:rPr>
              <w:t>0.2153</w:t>
            </w:r>
          </w:p>
        </w:tc>
      </w:tr>
    </w:tbl>
    <w:p w:rsidR="009276A5" w:rsidRDefault="009276A5"/>
    <w:sectPr w:rsidR="009276A5" w:rsidSect="00AC134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DDA" w:rsidRDefault="00925DDA" w:rsidP="00821C27">
      <w:pPr>
        <w:spacing w:after="0" w:line="240" w:lineRule="auto"/>
      </w:pPr>
      <w:r>
        <w:separator/>
      </w:r>
    </w:p>
  </w:endnote>
  <w:endnote w:type="continuationSeparator" w:id="0">
    <w:p w:rsidR="00925DDA" w:rsidRDefault="00925DDA" w:rsidP="0082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DDA" w:rsidRDefault="00925DDA" w:rsidP="00821C27">
      <w:pPr>
        <w:spacing w:after="0" w:line="240" w:lineRule="auto"/>
      </w:pPr>
      <w:r>
        <w:separator/>
      </w:r>
    </w:p>
  </w:footnote>
  <w:footnote w:type="continuationSeparator" w:id="0">
    <w:p w:rsidR="00925DDA" w:rsidRDefault="00925DDA" w:rsidP="00821C27">
      <w:pPr>
        <w:spacing w:after="0" w:line="240" w:lineRule="auto"/>
      </w:pPr>
      <w:r>
        <w:continuationSeparator/>
      </w:r>
    </w:p>
  </w:footnote>
  <w:footnote w:id="1">
    <w:p w:rsidR="008F5F9F" w:rsidRPr="008F5F9F" w:rsidRDefault="008F5F9F">
      <w:pPr>
        <w:pStyle w:val="FootnoteText"/>
        <w:rPr>
          <w:rFonts w:ascii="Times New Roman" w:hAnsi="Times New Roman" w:cs="Times New Roman"/>
        </w:rPr>
      </w:pPr>
      <w:r w:rsidRPr="008F5F9F">
        <w:rPr>
          <w:rStyle w:val="FootnoteReference"/>
          <w:rFonts w:ascii="Times New Roman" w:hAnsi="Times New Roman" w:cs="Times New Roman"/>
        </w:rPr>
        <w:footnoteRef/>
      </w:r>
      <w:r w:rsidRPr="008F5F9F">
        <w:rPr>
          <w:rFonts w:ascii="Times New Roman" w:hAnsi="Times New Roman" w:cs="Times New Roman"/>
        </w:rPr>
        <w:t xml:space="preserve"> The company-level data from this survey, which by law are confidential, are collected for the purpose of producing publically available aggregate statistics on the operations of multinational companies.</w:t>
      </w:r>
    </w:p>
  </w:footnote>
  <w:footnote w:id="2">
    <w:p w:rsidR="008F5F9F" w:rsidRPr="00DF642C" w:rsidRDefault="008F5F9F" w:rsidP="00DF7359">
      <w:pPr>
        <w:pStyle w:val="FootnoteText"/>
        <w:jc w:val="both"/>
      </w:pPr>
      <w:r>
        <w:rPr>
          <w:rStyle w:val="FootnoteReference"/>
        </w:rPr>
        <w:footnoteRef/>
      </w:r>
      <w:r>
        <w:t xml:space="preserve"> </w:t>
      </w:r>
      <w:r w:rsidRPr="00DF642C">
        <w:rPr>
          <w:rFonts w:ascii="Times New Roman" w:hAnsi="Times New Roman" w:cs="Times New Roman"/>
        </w:rPr>
        <w:t>Because the location of firm earnings is highly autocorrelated, we expect that the effect will be persistent for a given firm and that the effect will be largely cross-sectional.</w:t>
      </w:r>
    </w:p>
  </w:footnote>
  <w:footnote w:id="3">
    <w:p w:rsidR="008F5F9F" w:rsidRPr="00EF2CDB" w:rsidRDefault="008F5F9F">
      <w:pPr>
        <w:pStyle w:val="FootnoteText"/>
        <w:rPr>
          <w:rFonts w:ascii="Times New Roman" w:hAnsi="Times New Roman" w:cs="Times New Roman"/>
        </w:rPr>
      </w:pPr>
      <w:r w:rsidRPr="00EF2CDB">
        <w:rPr>
          <w:rStyle w:val="FootnoteReference"/>
          <w:rFonts w:ascii="Times New Roman" w:hAnsi="Times New Roman" w:cs="Times New Roman"/>
        </w:rPr>
        <w:footnoteRef/>
      </w:r>
      <w:r w:rsidRPr="00EF2CDB">
        <w:rPr>
          <w:rFonts w:ascii="Times New Roman" w:hAnsi="Times New Roman" w:cs="Times New Roman"/>
        </w:rPr>
        <w:t xml:space="preserve"> Note that if the error with that assumption is random, the mismeasurement would serve to underestimate our coefficient of interest.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52CBF"/>
    <w:multiLevelType w:val="hybridMultilevel"/>
    <w:tmpl w:val="EBD877C6"/>
    <w:lvl w:ilvl="0" w:tplc="B53A2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F0"/>
    <w:rsid w:val="000008EC"/>
    <w:rsid w:val="00011B73"/>
    <w:rsid w:val="00013FF2"/>
    <w:rsid w:val="00032343"/>
    <w:rsid w:val="0003244C"/>
    <w:rsid w:val="00040743"/>
    <w:rsid w:val="00043210"/>
    <w:rsid w:val="00045776"/>
    <w:rsid w:val="00054906"/>
    <w:rsid w:val="000660DC"/>
    <w:rsid w:val="00075944"/>
    <w:rsid w:val="00091ACD"/>
    <w:rsid w:val="000A6DBD"/>
    <w:rsid w:val="000B29B0"/>
    <w:rsid w:val="000B5482"/>
    <w:rsid w:val="000C58A4"/>
    <w:rsid w:val="000D67AD"/>
    <w:rsid w:val="000F13A6"/>
    <w:rsid w:val="00116484"/>
    <w:rsid w:val="001178E3"/>
    <w:rsid w:val="001350ED"/>
    <w:rsid w:val="0014089F"/>
    <w:rsid w:val="00147E49"/>
    <w:rsid w:val="001604A4"/>
    <w:rsid w:val="001624C5"/>
    <w:rsid w:val="00182B85"/>
    <w:rsid w:val="001A358A"/>
    <w:rsid w:val="001A43BB"/>
    <w:rsid w:val="001B5541"/>
    <w:rsid w:val="001C0A25"/>
    <w:rsid w:val="001C0D47"/>
    <w:rsid w:val="001C1DBA"/>
    <w:rsid w:val="001C6DF7"/>
    <w:rsid w:val="001D7B65"/>
    <w:rsid w:val="001F5311"/>
    <w:rsid w:val="00207967"/>
    <w:rsid w:val="00213A58"/>
    <w:rsid w:val="0022460F"/>
    <w:rsid w:val="0024140D"/>
    <w:rsid w:val="00266A60"/>
    <w:rsid w:val="002F751E"/>
    <w:rsid w:val="002F7DC4"/>
    <w:rsid w:val="0030424C"/>
    <w:rsid w:val="003105E5"/>
    <w:rsid w:val="00375A0D"/>
    <w:rsid w:val="00376632"/>
    <w:rsid w:val="00386F5A"/>
    <w:rsid w:val="003A00BD"/>
    <w:rsid w:val="003A7587"/>
    <w:rsid w:val="003D785E"/>
    <w:rsid w:val="003E6D4C"/>
    <w:rsid w:val="003F222C"/>
    <w:rsid w:val="00401776"/>
    <w:rsid w:val="00434249"/>
    <w:rsid w:val="00446B5D"/>
    <w:rsid w:val="00516FD7"/>
    <w:rsid w:val="005176C6"/>
    <w:rsid w:val="00524AF3"/>
    <w:rsid w:val="00531EF4"/>
    <w:rsid w:val="00536F3E"/>
    <w:rsid w:val="005549F3"/>
    <w:rsid w:val="00575FD3"/>
    <w:rsid w:val="0059557F"/>
    <w:rsid w:val="005C1D4A"/>
    <w:rsid w:val="005C31BF"/>
    <w:rsid w:val="005D75D3"/>
    <w:rsid w:val="00606CEE"/>
    <w:rsid w:val="006505D0"/>
    <w:rsid w:val="00657927"/>
    <w:rsid w:val="0067227A"/>
    <w:rsid w:val="00675D4A"/>
    <w:rsid w:val="006930FC"/>
    <w:rsid w:val="00693FAB"/>
    <w:rsid w:val="00695C5A"/>
    <w:rsid w:val="0069688D"/>
    <w:rsid w:val="006A5C4C"/>
    <w:rsid w:val="006B206E"/>
    <w:rsid w:val="006B4DC4"/>
    <w:rsid w:val="006C577E"/>
    <w:rsid w:val="006C69D3"/>
    <w:rsid w:val="006E1DC3"/>
    <w:rsid w:val="006E534A"/>
    <w:rsid w:val="006F1C86"/>
    <w:rsid w:val="006F78FC"/>
    <w:rsid w:val="00710943"/>
    <w:rsid w:val="00724A7A"/>
    <w:rsid w:val="00746C81"/>
    <w:rsid w:val="0075597C"/>
    <w:rsid w:val="0076114C"/>
    <w:rsid w:val="007670CE"/>
    <w:rsid w:val="00785C34"/>
    <w:rsid w:val="007A28CE"/>
    <w:rsid w:val="007A418F"/>
    <w:rsid w:val="007C75F6"/>
    <w:rsid w:val="007E1C0A"/>
    <w:rsid w:val="008136EA"/>
    <w:rsid w:val="00821C27"/>
    <w:rsid w:val="00830139"/>
    <w:rsid w:val="00832C44"/>
    <w:rsid w:val="00866A34"/>
    <w:rsid w:val="00873D10"/>
    <w:rsid w:val="0089675D"/>
    <w:rsid w:val="008A006D"/>
    <w:rsid w:val="008A7CAD"/>
    <w:rsid w:val="008B6577"/>
    <w:rsid w:val="008D5EED"/>
    <w:rsid w:val="008E2C52"/>
    <w:rsid w:val="008E6A8B"/>
    <w:rsid w:val="008F0640"/>
    <w:rsid w:val="008F1BBB"/>
    <w:rsid w:val="008F5F9F"/>
    <w:rsid w:val="0090240A"/>
    <w:rsid w:val="00913A2A"/>
    <w:rsid w:val="00925DDA"/>
    <w:rsid w:val="009276A5"/>
    <w:rsid w:val="0093366B"/>
    <w:rsid w:val="00954DE4"/>
    <w:rsid w:val="009621F0"/>
    <w:rsid w:val="00984B9A"/>
    <w:rsid w:val="00993A76"/>
    <w:rsid w:val="009964D4"/>
    <w:rsid w:val="009A001F"/>
    <w:rsid w:val="009B65AF"/>
    <w:rsid w:val="009F04A6"/>
    <w:rsid w:val="00A16E42"/>
    <w:rsid w:val="00A3220A"/>
    <w:rsid w:val="00A3354D"/>
    <w:rsid w:val="00A51396"/>
    <w:rsid w:val="00A564B3"/>
    <w:rsid w:val="00A6607C"/>
    <w:rsid w:val="00A66ED1"/>
    <w:rsid w:val="00A775F6"/>
    <w:rsid w:val="00A86EAC"/>
    <w:rsid w:val="00A929AE"/>
    <w:rsid w:val="00A956D6"/>
    <w:rsid w:val="00AA2582"/>
    <w:rsid w:val="00AB0CE3"/>
    <w:rsid w:val="00AB1387"/>
    <w:rsid w:val="00AB2DFE"/>
    <w:rsid w:val="00AC134E"/>
    <w:rsid w:val="00AE03EB"/>
    <w:rsid w:val="00AE7D0B"/>
    <w:rsid w:val="00B03905"/>
    <w:rsid w:val="00B52073"/>
    <w:rsid w:val="00B56074"/>
    <w:rsid w:val="00B67731"/>
    <w:rsid w:val="00BA0C47"/>
    <w:rsid w:val="00BC7568"/>
    <w:rsid w:val="00BE0469"/>
    <w:rsid w:val="00C05205"/>
    <w:rsid w:val="00C1156F"/>
    <w:rsid w:val="00C36BD4"/>
    <w:rsid w:val="00C36DC4"/>
    <w:rsid w:val="00C42B26"/>
    <w:rsid w:val="00C80DE3"/>
    <w:rsid w:val="00C97439"/>
    <w:rsid w:val="00CB01C8"/>
    <w:rsid w:val="00CB11FC"/>
    <w:rsid w:val="00CB2787"/>
    <w:rsid w:val="00CC27D9"/>
    <w:rsid w:val="00CC2BCC"/>
    <w:rsid w:val="00CE4EC5"/>
    <w:rsid w:val="00CF309B"/>
    <w:rsid w:val="00CF4572"/>
    <w:rsid w:val="00D02300"/>
    <w:rsid w:val="00D0494E"/>
    <w:rsid w:val="00D11985"/>
    <w:rsid w:val="00D24172"/>
    <w:rsid w:val="00D334DD"/>
    <w:rsid w:val="00D34553"/>
    <w:rsid w:val="00D960DD"/>
    <w:rsid w:val="00DB3AE9"/>
    <w:rsid w:val="00DC11FF"/>
    <w:rsid w:val="00DC36B3"/>
    <w:rsid w:val="00DF082A"/>
    <w:rsid w:val="00DF14D3"/>
    <w:rsid w:val="00DF642C"/>
    <w:rsid w:val="00DF7359"/>
    <w:rsid w:val="00E06305"/>
    <w:rsid w:val="00E17216"/>
    <w:rsid w:val="00E52105"/>
    <w:rsid w:val="00E52521"/>
    <w:rsid w:val="00E62DAD"/>
    <w:rsid w:val="00E67043"/>
    <w:rsid w:val="00E673D8"/>
    <w:rsid w:val="00E83400"/>
    <w:rsid w:val="00E85194"/>
    <w:rsid w:val="00EA0C9E"/>
    <w:rsid w:val="00EC14F6"/>
    <w:rsid w:val="00ED02B4"/>
    <w:rsid w:val="00EE1652"/>
    <w:rsid w:val="00EF2CDB"/>
    <w:rsid w:val="00EF2D0E"/>
    <w:rsid w:val="00EF2E81"/>
    <w:rsid w:val="00F534DE"/>
    <w:rsid w:val="00F5393A"/>
    <w:rsid w:val="00F55113"/>
    <w:rsid w:val="00F87310"/>
    <w:rsid w:val="00F91B8D"/>
    <w:rsid w:val="00FA42D8"/>
    <w:rsid w:val="00FB110B"/>
    <w:rsid w:val="00FD2747"/>
    <w:rsid w:val="00FE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2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670CE"/>
    <w:rPr>
      <w:color w:val="808080"/>
    </w:rPr>
  </w:style>
  <w:style w:type="paragraph" w:styleId="BalloonText">
    <w:name w:val="Balloon Text"/>
    <w:basedOn w:val="Normal"/>
    <w:link w:val="BalloonTextChar"/>
    <w:uiPriority w:val="99"/>
    <w:semiHidden/>
    <w:unhideWhenUsed/>
    <w:rsid w:val="00767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0CE"/>
    <w:rPr>
      <w:rFonts w:ascii="Tahoma" w:hAnsi="Tahoma" w:cs="Tahoma"/>
      <w:sz w:val="16"/>
      <w:szCs w:val="16"/>
    </w:rPr>
  </w:style>
  <w:style w:type="paragraph" w:styleId="Header">
    <w:name w:val="header"/>
    <w:basedOn w:val="Normal"/>
    <w:link w:val="HeaderChar"/>
    <w:uiPriority w:val="99"/>
    <w:unhideWhenUsed/>
    <w:rsid w:val="00821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C27"/>
  </w:style>
  <w:style w:type="paragraph" w:styleId="Footer">
    <w:name w:val="footer"/>
    <w:basedOn w:val="Normal"/>
    <w:link w:val="FooterChar"/>
    <w:uiPriority w:val="99"/>
    <w:unhideWhenUsed/>
    <w:rsid w:val="00821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C27"/>
  </w:style>
  <w:style w:type="character" w:styleId="Hyperlink">
    <w:name w:val="Hyperlink"/>
    <w:basedOn w:val="DefaultParagraphFont"/>
    <w:uiPriority w:val="99"/>
    <w:unhideWhenUsed/>
    <w:rsid w:val="00785C34"/>
    <w:rPr>
      <w:color w:val="0000FF" w:themeColor="hyperlink"/>
      <w:u w:val="single"/>
    </w:rPr>
  </w:style>
  <w:style w:type="paragraph" w:styleId="ListParagraph">
    <w:name w:val="List Paragraph"/>
    <w:basedOn w:val="Normal"/>
    <w:uiPriority w:val="34"/>
    <w:qFormat/>
    <w:rsid w:val="00830139"/>
    <w:pPr>
      <w:ind w:left="720"/>
      <w:contextualSpacing/>
    </w:pPr>
  </w:style>
  <w:style w:type="paragraph" w:styleId="FootnoteText">
    <w:name w:val="footnote text"/>
    <w:basedOn w:val="Normal"/>
    <w:link w:val="FootnoteTextChar"/>
    <w:uiPriority w:val="99"/>
    <w:semiHidden/>
    <w:unhideWhenUsed/>
    <w:rsid w:val="00CE4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4EC5"/>
    <w:rPr>
      <w:sz w:val="20"/>
      <w:szCs w:val="20"/>
    </w:rPr>
  </w:style>
  <w:style w:type="character" w:styleId="FootnoteReference">
    <w:name w:val="footnote reference"/>
    <w:basedOn w:val="DefaultParagraphFont"/>
    <w:uiPriority w:val="99"/>
    <w:semiHidden/>
    <w:unhideWhenUsed/>
    <w:rsid w:val="00CE4EC5"/>
    <w:rPr>
      <w:vertAlign w:val="superscript"/>
    </w:rPr>
  </w:style>
  <w:style w:type="paragraph" w:styleId="NoSpacing">
    <w:name w:val="No Spacing"/>
    <w:uiPriority w:val="1"/>
    <w:qFormat/>
    <w:rsid w:val="00EA0C9E"/>
    <w:pPr>
      <w:spacing w:after="0" w:line="240" w:lineRule="auto"/>
    </w:pPr>
  </w:style>
  <w:style w:type="paragraph" w:styleId="NormalWeb">
    <w:name w:val="Normal (Web)"/>
    <w:basedOn w:val="Normal"/>
    <w:uiPriority w:val="99"/>
    <w:unhideWhenUsed/>
    <w:rsid w:val="0005490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2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670CE"/>
    <w:rPr>
      <w:color w:val="808080"/>
    </w:rPr>
  </w:style>
  <w:style w:type="paragraph" w:styleId="BalloonText">
    <w:name w:val="Balloon Text"/>
    <w:basedOn w:val="Normal"/>
    <w:link w:val="BalloonTextChar"/>
    <w:uiPriority w:val="99"/>
    <w:semiHidden/>
    <w:unhideWhenUsed/>
    <w:rsid w:val="00767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0CE"/>
    <w:rPr>
      <w:rFonts w:ascii="Tahoma" w:hAnsi="Tahoma" w:cs="Tahoma"/>
      <w:sz w:val="16"/>
      <w:szCs w:val="16"/>
    </w:rPr>
  </w:style>
  <w:style w:type="paragraph" w:styleId="Header">
    <w:name w:val="header"/>
    <w:basedOn w:val="Normal"/>
    <w:link w:val="HeaderChar"/>
    <w:uiPriority w:val="99"/>
    <w:unhideWhenUsed/>
    <w:rsid w:val="00821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C27"/>
  </w:style>
  <w:style w:type="paragraph" w:styleId="Footer">
    <w:name w:val="footer"/>
    <w:basedOn w:val="Normal"/>
    <w:link w:val="FooterChar"/>
    <w:uiPriority w:val="99"/>
    <w:unhideWhenUsed/>
    <w:rsid w:val="00821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C27"/>
  </w:style>
  <w:style w:type="character" w:styleId="Hyperlink">
    <w:name w:val="Hyperlink"/>
    <w:basedOn w:val="DefaultParagraphFont"/>
    <w:uiPriority w:val="99"/>
    <w:unhideWhenUsed/>
    <w:rsid w:val="00785C34"/>
    <w:rPr>
      <w:color w:val="0000FF" w:themeColor="hyperlink"/>
      <w:u w:val="single"/>
    </w:rPr>
  </w:style>
  <w:style w:type="paragraph" w:styleId="ListParagraph">
    <w:name w:val="List Paragraph"/>
    <w:basedOn w:val="Normal"/>
    <w:uiPriority w:val="34"/>
    <w:qFormat/>
    <w:rsid w:val="00830139"/>
    <w:pPr>
      <w:ind w:left="720"/>
      <w:contextualSpacing/>
    </w:pPr>
  </w:style>
  <w:style w:type="paragraph" w:styleId="FootnoteText">
    <w:name w:val="footnote text"/>
    <w:basedOn w:val="Normal"/>
    <w:link w:val="FootnoteTextChar"/>
    <w:uiPriority w:val="99"/>
    <w:semiHidden/>
    <w:unhideWhenUsed/>
    <w:rsid w:val="00CE4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4EC5"/>
    <w:rPr>
      <w:sz w:val="20"/>
      <w:szCs w:val="20"/>
    </w:rPr>
  </w:style>
  <w:style w:type="character" w:styleId="FootnoteReference">
    <w:name w:val="footnote reference"/>
    <w:basedOn w:val="DefaultParagraphFont"/>
    <w:uiPriority w:val="99"/>
    <w:semiHidden/>
    <w:unhideWhenUsed/>
    <w:rsid w:val="00CE4EC5"/>
    <w:rPr>
      <w:vertAlign w:val="superscript"/>
    </w:rPr>
  </w:style>
  <w:style w:type="paragraph" w:styleId="NoSpacing">
    <w:name w:val="No Spacing"/>
    <w:uiPriority w:val="1"/>
    <w:qFormat/>
    <w:rsid w:val="00EA0C9E"/>
    <w:pPr>
      <w:spacing w:after="0" w:line="240" w:lineRule="auto"/>
    </w:pPr>
  </w:style>
  <w:style w:type="paragraph" w:styleId="NormalWeb">
    <w:name w:val="Normal (Web)"/>
    <w:basedOn w:val="Normal"/>
    <w:uiPriority w:val="99"/>
    <w:unhideWhenUsed/>
    <w:rsid w:val="0005490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1069">
      <w:bodyDiv w:val="1"/>
      <w:marLeft w:val="0"/>
      <w:marRight w:val="0"/>
      <w:marTop w:val="0"/>
      <w:marBottom w:val="0"/>
      <w:divBdr>
        <w:top w:val="none" w:sz="0" w:space="0" w:color="auto"/>
        <w:left w:val="none" w:sz="0" w:space="0" w:color="auto"/>
        <w:bottom w:val="none" w:sz="0" w:space="0" w:color="auto"/>
        <w:right w:val="none" w:sz="0" w:space="0" w:color="auto"/>
      </w:divBdr>
    </w:div>
    <w:div w:id="172260405">
      <w:bodyDiv w:val="1"/>
      <w:marLeft w:val="0"/>
      <w:marRight w:val="0"/>
      <w:marTop w:val="0"/>
      <w:marBottom w:val="0"/>
      <w:divBdr>
        <w:top w:val="none" w:sz="0" w:space="0" w:color="auto"/>
        <w:left w:val="none" w:sz="0" w:space="0" w:color="auto"/>
        <w:bottom w:val="none" w:sz="0" w:space="0" w:color="auto"/>
        <w:right w:val="none" w:sz="0" w:space="0" w:color="auto"/>
      </w:divBdr>
    </w:div>
    <w:div w:id="370349779">
      <w:bodyDiv w:val="1"/>
      <w:marLeft w:val="0"/>
      <w:marRight w:val="0"/>
      <w:marTop w:val="0"/>
      <w:marBottom w:val="0"/>
      <w:divBdr>
        <w:top w:val="none" w:sz="0" w:space="0" w:color="auto"/>
        <w:left w:val="none" w:sz="0" w:space="0" w:color="auto"/>
        <w:bottom w:val="none" w:sz="0" w:space="0" w:color="auto"/>
        <w:right w:val="none" w:sz="0" w:space="0" w:color="auto"/>
      </w:divBdr>
    </w:div>
    <w:div w:id="476338826">
      <w:bodyDiv w:val="1"/>
      <w:marLeft w:val="0"/>
      <w:marRight w:val="0"/>
      <w:marTop w:val="0"/>
      <w:marBottom w:val="0"/>
      <w:divBdr>
        <w:top w:val="none" w:sz="0" w:space="0" w:color="auto"/>
        <w:left w:val="none" w:sz="0" w:space="0" w:color="auto"/>
        <w:bottom w:val="none" w:sz="0" w:space="0" w:color="auto"/>
        <w:right w:val="none" w:sz="0" w:space="0" w:color="auto"/>
      </w:divBdr>
    </w:div>
    <w:div w:id="634065972">
      <w:bodyDiv w:val="1"/>
      <w:marLeft w:val="0"/>
      <w:marRight w:val="0"/>
      <w:marTop w:val="0"/>
      <w:marBottom w:val="0"/>
      <w:divBdr>
        <w:top w:val="none" w:sz="0" w:space="0" w:color="auto"/>
        <w:left w:val="none" w:sz="0" w:space="0" w:color="auto"/>
        <w:bottom w:val="none" w:sz="0" w:space="0" w:color="auto"/>
        <w:right w:val="none" w:sz="0" w:space="0" w:color="auto"/>
      </w:divBdr>
    </w:div>
    <w:div w:id="882710754">
      <w:bodyDiv w:val="1"/>
      <w:marLeft w:val="0"/>
      <w:marRight w:val="0"/>
      <w:marTop w:val="0"/>
      <w:marBottom w:val="0"/>
      <w:divBdr>
        <w:top w:val="none" w:sz="0" w:space="0" w:color="auto"/>
        <w:left w:val="none" w:sz="0" w:space="0" w:color="auto"/>
        <w:bottom w:val="none" w:sz="0" w:space="0" w:color="auto"/>
        <w:right w:val="none" w:sz="0" w:space="0" w:color="auto"/>
      </w:divBdr>
    </w:div>
    <w:div w:id="1309549713">
      <w:bodyDiv w:val="1"/>
      <w:marLeft w:val="0"/>
      <w:marRight w:val="0"/>
      <w:marTop w:val="0"/>
      <w:marBottom w:val="0"/>
      <w:divBdr>
        <w:top w:val="none" w:sz="0" w:space="0" w:color="auto"/>
        <w:left w:val="none" w:sz="0" w:space="0" w:color="auto"/>
        <w:bottom w:val="none" w:sz="0" w:space="0" w:color="auto"/>
        <w:right w:val="none" w:sz="0" w:space="0" w:color="auto"/>
      </w:divBdr>
    </w:div>
    <w:div w:id="14787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ason.smith@usu.edu" TargetMode="External"/><Relationship Id="rId4" Type="http://schemas.microsoft.com/office/2007/relationships/stylesWithEffects" Target="stylesWithEffects.xml"/><Relationship Id="rId9" Type="http://schemas.openxmlformats.org/officeDocument/2006/relationships/hyperlink" Target="mailto:mfaulken@rhsmith.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D867-1155-4E8F-8224-3CF447C5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9549</Words>
  <Characters>54431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Utah State University</Company>
  <LinksUpToDate>false</LinksUpToDate>
  <CharactersWithSpaces>63853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Smith</dc:creator>
  <cp:lastModifiedBy>Jessica C Holtzman</cp:lastModifiedBy>
  <cp:revision>2</cp:revision>
  <cp:lastPrinted>2013-11-01T22:01:00Z</cp:lastPrinted>
  <dcterms:created xsi:type="dcterms:W3CDTF">2014-03-21T14:20:00Z</dcterms:created>
  <dcterms:modified xsi:type="dcterms:W3CDTF">2014-03-21T14:20:00Z</dcterms:modified>
</cp:coreProperties>
</file>