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9F789D" w14:textId="77777777" w:rsidR="00A369F9" w:rsidRDefault="00A369F9" w:rsidP="00EF022A">
      <w:pPr>
        <w:jc w:val="center"/>
        <w:rPr>
          <w:sz w:val="36"/>
          <w:szCs w:val="36"/>
        </w:rPr>
      </w:pPr>
    </w:p>
    <w:p w14:paraId="13E2FE32" w14:textId="51070893" w:rsidR="0075775D" w:rsidRDefault="00FF2870" w:rsidP="00EF022A">
      <w:pPr>
        <w:jc w:val="center"/>
        <w:rPr>
          <w:sz w:val="36"/>
          <w:szCs w:val="36"/>
        </w:rPr>
      </w:pPr>
      <w:r>
        <w:rPr>
          <w:sz w:val="36"/>
          <w:szCs w:val="36"/>
        </w:rPr>
        <w:t>Interconnectedness in the Interbank Market</w:t>
      </w:r>
    </w:p>
    <w:p w14:paraId="063E91DE" w14:textId="77777777" w:rsidR="00EF022A" w:rsidRDefault="00EF022A" w:rsidP="00EF022A">
      <w:pPr>
        <w:jc w:val="center"/>
        <w:rPr>
          <w:sz w:val="36"/>
          <w:szCs w:val="36"/>
        </w:rPr>
      </w:pPr>
    </w:p>
    <w:p w14:paraId="296EB2FD" w14:textId="77777777" w:rsidR="00EF022A" w:rsidRPr="003E0D5F" w:rsidRDefault="00EF022A" w:rsidP="00EF022A">
      <w:pPr>
        <w:jc w:val="center"/>
        <w:rPr>
          <w:sz w:val="28"/>
          <w:szCs w:val="28"/>
        </w:rPr>
      </w:pPr>
      <w:r w:rsidRPr="003E0D5F">
        <w:rPr>
          <w:sz w:val="28"/>
          <w:szCs w:val="28"/>
        </w:rPr>
        <w:t>Celso</w:t>
      </w:r>
      <w:r w:rsidR="003E0D5F" w:rsidRPr="003E0D5F">
        <w:rPr>
          <w:sz w:val="28"/>
          <w:szCs w:val="28"/>
        </w:rPr>
        <w:t xml:space="preserve"> Brunetti</w:t>
      </w:r>
      <w:r w:rsidRPr="003E0D5F">
        <w:rPr>
          <w:sz w:val="28"/>
          <w:szCs w:val="28"/>
        </w:rPr>
        <w:t>, Jeff</w:t>
      </w:r>
      <w:r w:rsidR="001204D5">
        <w:rPr>
          <w:sz w:val="28"/>
          <w:szCs w:val="28"/>
        </w:rPr>
        <w:t>rey</w:t>
      </w:r>
      <w:r w:rsidR="003E0D5F" w:rsidRPr="003E0D5F">
        <w:rPr>
          <w:sz w:val="28"/>
          <w:szCs w:val="28"/>
        </w:rPr>
        <w:t xml:space="preserve"> H. Harris</w:t>
      </w:r>
      <w:r w:rsidRPr="003E0D5F">
        <w:rPr>
          <w:sz w:val="28"/>
          <w:szCs w:val="28"/>
        </w:rPr>
        <w:t>, Shawn</w:t>
      </w:r>
      <w:r w:rsidR="003E0D5F" w:rsidRPr="003E0D5F">
        <w:rPr>
          <w:sz w:val="28"/>
          <w:szCs w:val="28"/>
        </w:rPr>
        <w:t xml:space="preserve"> Mankad</w:t>
      </w:r>
      <w:r w:rsidRPr="003E0D5F">
        <w:rPr>
          <w:sz w:val="28"/>
          <w:szCs w:val="28"/>
        </w:rPr>
        <w:t>, George</w:t>
      </w:r>
      <w:r w:rsidR="003E0D5F" w:rsidRPr="003E0D5F">
        <w:rPr>
          <w:sz w:val="28"/>
          <w:szCs w:val="28"/>
        </w:rPr>
        <w:t xml:space="preserve"> Michailidis</w:t>
      </w:r>
    </w:p>
    <w:p w14:paraId="16D55660" w14:textId="77777777" w:rsidR="00EF022A" w:rsidRPr="003E0D5F" w:rsidRDefault="00EF022A">
      <w:pPr>
        <w:rPr>
          <w:sz w:val="28"/>
          <w:szCs w:val="28"/>
        </w:rPr>
      </w:pPr>
    </w:p>
    <w:p w14:paraId="7654A116" w14:textId="77777777" w:rsidR="00A369F9" w:rsidRDefault="00A369F9"/>
    <w:p w14:paraId="27B4AD53" w14:textId="77777777" w:rsidR="003E0D5F" w:rsidRDefault="003E0D5F">
      <w:r>
        <w:t>Abstract:</w:t>
      </w:r>
    </w:p>
    <w:p w14:paraId="596A0505" w14:textId="0C058ED5" w:rsidR="003E0D5F" w:rsidRPr="00D36584" w:rsidRDefault="009F2C15" w:rsidP="00FF2870">
      <w:pPr>
        <w:jc w:val="both"/>
      </w:pPr>
      <w:r w:rsidRPr="00D36584">
        <w:t xml:space="preserve">In this paper we study the behavior of the interbank market during the crisis. We adopt two approaches: </w:t>
      </w:r>
      <w:r w:rsidR="0017702E">
        <w:t>a</w:t>
      </w:r>
      <w:r w:rsidRPr="00D36584">
        <w:t xml:space="preserve"> correlation network, based on the correlation structure of publicly traded bank</w:t>
      </w:r>
      <w:r w:rsidR="0017702E">
        <w:t xml:space="preserve"> return</w:t>
      </w:r>
      <w:r w:rsidRPr="00D36584">
        <w:t xml:space="preserve">s in our sample, and the </w:t>
      </w:r>
      <w:r w:rsidR="00C067B5">
        <w:t xml:space="preserve">physical </w:t>
      </w:r>
      <w:r w:rsidRPr="00D36584">
        <w:t>network based on interbank</w:t>
      </w:r>
      <w:r w:rsidR="0017702E">
        <w:t xml:space="preserve"> lending</w:t>
      </w:r>
      <w:r w:rsidRPr="00D36584">
        <w:t xml:space="preserve"> transactions. </w:t>
      </w:r>
      <w:r w:rsidR="00D36584" w:rsidRPr="00D36584">
        <w:t xml:space="preserve">The correlation network shows an increase in interconnectedness during the crisis, while the </w:t>
      </w:r>
      <w:r w:rsidR="00FF2870">
        <w:t xml:space="preserve">physical </w:t>
      </w:r>
      <w:r w:rsidR="00FF2870" w:rsidRPr="00D36584">
        <w:t>network</w:t>
      </w:r>
      <w:r w:rsidR="00D36584" w:rsidRPr="00D36584">
        <w:t xml:space="preserve"> highlights a marked decrease in interconnectedness.</w:t>
      </w:r>
      <w:bookmarkStart w:id="0" w:name="_GoBack"/>
      <w:bookmarkEnd w:id="0"/>
      <w:r w:rsidR="00D36584" w:rsidRPr="00D36584">
        <w:t xml:space="preserve"> We explain these findings in terms of the economic relevance of each network structure.</w:t>
      </w:r>
    </w:p>
    <w:p w14:paraId="18B30975" w14:textId="77777777" w:rsidR="009F2C15" w:rsidRDefault="009F2C15"/>
    <w:p w14:paraId="277E8E78" w14:textId="0C70B474" w:rsidR="003E0D5F" w:rsidRDefault="003E0D5F">
      <w:r>
        <w:t>JEL</w:t>
      </w:r>
      <w:r w:rsidR="00F22D18">
        <w:t>: G10, G21, C10.</w:t>
      </w:r>
    </w:p>
    <w:p w14:paraId="3D2C5794" w14:textId="77777777" w:rsidR="003E0D5F" w:rsidRDefault="003E0D5F"/>
    <w:p w14:paraId="69289544" w14:textId="226A4DA3" w:rsidR="003E0D5F" w:rsidRDefault="003E0D5F">
      <w:r>
        <w:t>Key Words:</w:t>
      </w:r>
      <w:r w:rsidR="009F2C15">
        <w:t xml:space="preserve"> Correlation network, </w:t>
      </w:r>
      <w:r w:rsidR="00C067B5" w:rsidRPr="00FF2870">
        <w:t>physical</w:t>
      </w:r>
      <w:r w:rsidR="0017702E" w:rsidRPr="00FF2870">
        <w:t xml:space="preserve"> network</w:t>
      </w:r>
      <w:r w:rsidR="009F2C15" w:rsidRPr="00FF2870">
        <w:t>, interbank market</w:t>
      </w:r>
      <w:r w:rsidR="00FF2870">
        <w:t>, interconnectedness</w:t>
      </w:r>
    </w:p>
    <w:p w14:paraId="54F33D00" w14:textId="77777777" w:rsidR="003E0D5F" w:rsidRDefault="003E0D5F"/>
    <w:p w14:paraId="1278070A" w14:textId="77777777" w:rsidR="003E0D5F" w:rsidRDefault="00A369F9">
      <w:r>
        <w:t>First Draft: June 4, 2014</w:t>
      </w:r>
    </w:p>
    <w:p w14:paraId="21B2BC8A" w14:textId="77777777" w:rsidR="003E0D5F" w:rsidRDefault="003E0D5F"/>
    <w:p w14:paraId="18A3CD28" w14:textId="045A57D1" w:rsidR="003E0D5F" w:rsidRDefault="003E0D5F" w:rsidP="005A0D9A">
      <w:pPr>
        <w:jc w:val="both"/>
      </w:pPr>
      <w:r>
        <w:t xml:space="preserve">Acknowledgements: </w:t>
      </w:r>
      <w:r w:rsidR="00A369F9">
        <w:t xml:space="preserve">We would like to thank </w:t>
      </w:r>
      <w:r w:rsidR="00B66F9A">
        <w:t xml:space="preserve">for valuable discussions and comments: </w:t>
      </w:r>
      <w:r w:rsidR="0030684E">
        <w:t xml:space="preserve">Kirsten Anderson, </w:t>
      </w:r>
      <w:r w:rsidR="00F22D18">
        <w:t xml:space="preserve">Stefano Battiston, Guido Caldarelli, </w:t>
      </w:r>
      <w:r w:rsidR="00B66F9A">
        <w:t xml:space="preserve">Rama Cont, Michael Gordy, Erik Heitfield, Andrew Karolyi, Luigi Ruggerone, and Clara Vega, and </w:t>
      </w:r>
      <w:r w:rsidR="0017702E">
        <w:t xml:space="preserve">seminar participants at </w:t>
      </w:r>
      <w:r w:rsidR="00735F09">
        <w:t xml:space="preserve">Babson College, </w:t>
      </w:r>
      <w:r w:rsidR="0017702E">
        <w:t>Cornell University, Hull University</w:t>
      </w:r>
      <w:r w:rsidR="00B66F9A">
        <w:t>, the CFTC and the Board of Governors,</w:t>
      </w:r>
      <w:r w:rsidR="0017702E">
        <w:t xml:space="preserve"> and </w:t>
      </w:r>
      <w:r w:rsidR="005A0D9A">
        <w:t xml:space="preserve">participants to the </w:t>
      </w:r>
      <w:r w:rsidR="00B66F9A">
        <w:t xml:space="preserve">conference of the </w:t>
      </w:r>
      <w:r w:rsidR="005A0D9A" w:rsidRPr="005A0D9A">
        <w:t>Society for Computational Economics</w:t>
      </w:r>
      <w:r w:rsidR="00B66F9A">
        <w:t xml:space="preserve">, </w:t>
      </w:r>
      <w:r w:rsidR="005A0D9A" w:rsidRPr="005A0D9A">
        <w:t>Oslo, 2014</w:t>
      </w:r>
      <w:r w:rsidR="005A0D9A">
        <w:t xml:space="preserve">, the </w:t>
      </w:r>
      <w:r w:rsidR="005A0D9A" w:rsidRPr="005A0D9A">
        <w:t>International Association for Applied Econometrics Annual Conference</w:t>
      </w:r>
      <w:r w:rsidR="00B66F9A">
        <w:t>,</w:t>
      </w:r>
      <w:r w:rsidR="005A0D9A">
        <w:t xml:space="preserve"> </w:t>
      </w:r>
      <w:r w:rsidR="005A0D9A" w:rsidRPr="005A0D9A">
        <w:t>London, 2014</w:t>
      </w:r>
      <w:r w:rsidR="005A0D9A">
        <w:t xml:space="preserve">, the workshop on </w:t>
      </w:r>
      <w:r w:rsidR="00B66F9A">
        <w:t>“</w:t>
      </w:r>
      <w:r w:rsidR="005A0D9A" w:rsidRPr="005A0D9A">
        <w:t>Systemic risk and macro</w:t>
      </w:r>
      <w:r w:rsidR="005A0D9A" w:rsidRPr="005A0D9A">
        <w:rPr>
          <w:rFonts w:ascii="Cambria Math" w:hAnsi="Cambria Math" w:cs="Cambria Math"/>
        </w:rPr>
        <w:t>‐</w:t>
      </w:r>
      <w:r w:rsidR="005A0D9A" w:rsidRPr="005A0D9A">
        <w:t>prudential regulation: perspectives from network analysis</w:t>
      </w:r>
      <w:r w:rsidR="005A0D9A">
        <w:t>,</w:t>
      </w:r>
      <w:r w:rsidR="00B66F9A">
        <w:t>”</w:t>
      </w:r>
      <w:r w:rsidR="005A0D9A">
        <w:t xml:space="preserve"> Bank of England, 2014, </w:t>
      </w:r>
      <w:r w:rsidR="00B66F9A">
        <w:t>and the c</w:t>
      </w:r>
      <w:r w:rsidR="005A0D9A" w:rsidRPr="005A0D9A">
        <w:t>onference on “Behavioral Aspects in Macroeconomics and Finance</w:t>
      </w:r>
      <w:r w:rsidR="00B66F9A">
        <w:t>,” Milan 2014</w:t>
      </w:r>
      <w:r w:rsidR="00A369F9">
        <w:t xml:space="preserve">. A preliminary draft of this paper </w:t>
      </w:r>
      <w:r w:rsidR="0017702E">
        <w:t>was titled “The Breakdown of the Interbank Market during the Financial Crisis</w:t>
      </w:r>
      <w:r w:rsidR="0030684E">
        <w:t>.</w:t>
      </w:r>
      <w:r w:rsidR="0017702E">
        <w:t>”</w:t>
      </w:r>
      <w:r w:rsidR="0030684E">
        <w:t xml:space="preserve"> </w:t>
      </w:r>
      <w:r w:rsidR="00891F45">
        <w:t>All errors are ours.</w:t>
      </w:r>
    </w:p>
    <w:p w14:paraId="300F1D0D" w14:textId="41782D60" w:rsidR="00F22D18" w:rsidRDefault="00F22D18" w:rsidP="005A0D9A">
      <w:pPr>
        <w:jc w:val="both"/>
      </w:pPr>
      <w:r>
        <w:t>T</w:t>
      </w:r>
      <w:r w:rsidRPr="00F22D18">
        <w:t>he views in this paper should not be interpreted as reflecting the views of the Board of Governors of the Federal Reserve System or of any other person associated with the Federal Reserve System.  All errors and omissions, if any, are the authors’ sole responsibility</w:t>
      </w:r>
    </w:p>
    <w:p w14:paraId="3A7193C4" w14:textId="77777777" w:rsidR="00F22D18" w:rsidRDefault="00F22D18" w:rsidP="005A0D9A">
      <w:pPr>
        <w:jc w:val="both"/>
      </w:pPr>
    </w:p>
    <w:p w14:paraId="20A0B149" w14:textId="18E7ABCB" w:rsidR="00F22D18" w:rsidRPr="00EE3510" w:rsidRDefault="00F22D18" w:rsidP="00EE3510">
      <w:pPr>
        <w:jc w:val="both"/>
        <w:rPr>
          <w:sz w:val="20"/>
          <w:szCs w:val="20"/>
        </w:rPr>
      </w:pPr>
      <w:r w:rsidRPr="00EE3510">
        <w:rPr>
          <w:sz w:val="20"/>
          <w:szCs w:val="20"/>
        </w:rPr>
        <w:t>Celso Brunetti</w:t>
      </w:r>
      <w:r w:rsidR="00EE3510" w:rsidRPr="00EE3510">
        <w:rPr>
          <w:sz w:val="20"/>
          <w:szCs w:val="20"/>
        </w:rPr>
        <w:t xml:space="preserve"> (</w:t>
      </w:r>
      <w:hyperlink r:id="rId8" w:history="1">
        <w:r w:rsidRPr="00EE3510">
          <w:rPr>
            <w:rStyle w:val="Hyperlink"/>
            <w:sz w:val="20"/>
            <w:szCs w:val="20"/>
          </w:rPr>
          <w:t>celso.brunetti@frb.gov</w:t>
        </w:r>
      </w:hyperlink>
      <w:r w:rsidR="00EE3510" w:rsidRPr="00EE3510">
        <w:rPr>
          <w:sz w:val="20"/>
          <w:szCs w:val="20"/>
        </w:rPr>
        <w:t xml:space="preserve">) is in the Division of </w:t>
      </w:r>
      <w:r w:rsidR="00EE3510">
        <w:rPr>
          <w:sz w:val="20"/>
          <w:szCs w:val="20"/>
        </w:rPr>
        <w:t>R</w:t>
      </w:r>
      <w:r w:rsidR="00EE3510" w:rsidRPr="00EE3510">
        <w:rPr>
          <w:sz w:val="20"/>
          <w:szCs w:val="20"/>
        </w:rPr>
        <w:t>esearch and Statistics at the Federal Reserve Board</w:t>
      </w:r>
      <w:r w:rsidRPr="00EE3510">
        <w:rPr>
          <w:sz w:val="20"/>
          <w:szCs w:val="20"/>
        </w:rPr>
        <w:t>; Jeff</w:t>
      </w:r>
      <w:r w:rsidR="0030684E">
        <w:rPr>
          <w:sz w:val="20"/>
          <w:szCs w:val="20"/>
        </w:rPr>
        <w:t>r</w:t>
      </w:r>
      <w:r w:rsidRPr="00EE3510">
        <w:rPr>
          <w:sz w:val="20"/>
          <w:szCs w:val="20"/>
        </w:rPr>
        <w:t xml:space="preserve">ey H. Harris </w:t>
      </w:r>
      <w:r w:rsidR="00EE3510" w:rsidRPr="00EE3510">
        <w:rPr>
          <w:sz w:val="20"/>
          <w:szCs w:val="20"/>
        </w:rPr>
        <w:t>(</w:t>
      </w:r>
      <w:hyperlink r:id="rId9" w:history="1">
        <w:r w:rsidRPr="00EE3510">
          <w:rPr>
            <w:rStyle w:val="Hyperlink"/>
            <w:sz w:val="20"/>
            <w:szCs w:val="20"/>
          </w:rPr>
          <w:t>jharris@american.edu</w:t>
        </w:r>
      </w:hyperlink>
      <w:r w:rsidR="00EE3510" w:rsidRPr="00EE3510">
        <w:rPr>
          <w:sz w:val="20"/>
          <w:szCs w:val="20"/>
        </w:rPr>
        <w:t>) is at</w:t>
      </w:r>
      <w:r w:rsidR="00EE3510">
        <w:rPr>
          <w:sz w:val="20"/>
          <w:szCs w:val="20"/>
        </w:rPr>
        <w:t xml:space="preserve"> American University’s</w:t>
      </w:r>
      <w:r w:rsidR="00EE3510" w:rsidRPr="00EE3510">
        <w:rPr>
          <w:sz w:val="20"/>
          <w:szCs w:val="20"/>
        </w:rPr>
        <w:t xml:space="preserve"> Kogod School of Business</w:t>
      </w:r>
      <w:r w:rsidRPr="00EE3510">
        <w:rPr>
          <w:sz w:val="20"/>
          <w:szCs w:val="20"/>
        </w:rPr>
        <w:t xml:space="preserve">; Shawn Mankad </w:t>
      </w:r>
      <w:r w:rsidR="00EE3510" w:rsidRPr="00EE3510">
        <w:rPr>
          <w:sz w:val="20"/>
          <w:szCs w:val="20"/>
        </w:rPr>
        <w:t>(</w:t>
      </w:r>
      <w:hyperlink r:id="rId10" w:history="1">
        <w:r w:rsidRPr="00EE3510">
          <w:rPr>
            <w:rStyle w:val="Hyperlink"/>
            <w:sz w:val="20"/>
            <w:szCs w:val="20"/>
          </w:rPr>
          <w:t>smankad@rhsmith.umd.edu</w:t>
        </w:r>
      </w:hyperlink>
      <w:r w:rsidR="00EE3510" w:rsidRPr="00EE3510">
        <w:rPr>
          <w:sz w:val="20"/>
          <w:szCs w:val="20"/>
        </w:rPr>
        <w:t xml:space="preserve">) is </w:t>
      </w:r>
      <w:r w:rsidR="00EE3510">
        <w:rPr>
          <w:sz w:val="20"/>
          <w:szCs w:val="20"/>
        </w:rPr>
        <w:t xml:space="preserve">at </w:t>
      </w:r>
      <w:r w:rsidR="00EE3510" w:rsidRPr="00EE3510">
        <w:rPr>
          <w:sz w:val="20"/>
          <w:szCs w:val="20"/>
        </w:rPr>
        <w:t>University of Maryland's Smith School of</w:t>
      </w:r>
      <w:r w:rsidR="00EE3510">
        <w:rPr>
          <w:sz w:val="20"/>
          <w:szCs w:val="20"/>
        </w:rPr>
        <w:t xml:space="preserve"> </w:t>
      </w:r>
      <w:r w:rsidR="00EE3510" w:rsidRPr="00EE3510">
        <w:rPr>
          <w:sz w:val="20"/>
          <w:szCs w:val="20"/>
        </w:rPr>
        <w:t>Business</w:t>
      </w:r>
      <w:r w:rsidRPr="00EE3510">
        <w:rPr>
          <w:sz w:val="20"/>
          <w:szCs w:val="20"/>
        </w:rPr>
        <w:t xml:space="preserve">; George Michailidis </w:t>
      </w:r>
      <w:r w:rsidR="00EE3510">
        <w:rPr>
          <w:sz w:val="20"/>
          <w:szCs w:val="20"/>
        </w:rPr>
        <w:t>(</w:t>
      </w:r>
      <w:hyperlink r:id="rId11" w:history="1">
        <w:r w:rsidR="00EE3510" w:rsidRPr="00451C8D">
          <w:rPr>
            <w:rStyle w:val="Hyperlink"/>
            <w:sz w:val="20"/>
            <w:szCs w:val="20"/>
          </w:rPr>
          <w:t>gmichail@umich.edu</w:t>
        </w:r>
      </w:hyperlink>
      <w:r w:rsidR="00EE3510">
        <w:rPr>
          <w:sz w:val="20"/>
          <w:szCs w:val="20"/>
        </w:rPr>
        <w:t>) is in the Department of Statistics at the University of Michigan.</w:t>
      </w:r>
    </w:p>
    <w:p w14:paraId="740D1CCE" w14:textId="77777777" w:rsidR="003E0D5F" w:rsidRDefault="003E0D5F">
      <w:r>
        <w:br w:type="page"/>
      </w:r>
    </w:p>
    <w:p w14:paraId="361707E4" w14:textId="77777777" w:rsidR="003E0D5F" w:rsidRPr="0069181D" w:rsidRDefault="00DF40DD" w:rsidP="00DF40DD">
      <w:pPr>
        <w:pStyle w:val="ListParagraph"/>
        <w:spacing w:line="360" w:lineRule="auto"/>
        <w:ind w:left="0"/>
        <w:rPr>
          <w:b/>
          <w:sz w:val="28"/>
          <w:szCs w:val="28"/>
        </w:rPr>
      </w:pPr>
      <w:r>
        <w:rPr>
          <w:b/>
          <w:sz w:val="28"/>
          <w:szCs w:val="28"/>
        </w:rPr>
        <w:lastRenderedPageBreak/>
        <w:t xml:space="preserve">1. </w:t>
      </w:r>
      <w:r w:rsidR="003E0D5F" w:rsidRPr="0069181D">
        <w:rPr>
          <w:b/>
          <w:sz w:val="28"/>
          <w:szCs w:val="28"/>
        </w:rPr>
        <w:t>Introduction</w:t>
      </w:r>
    </w:p>
    <w:p w14:paraId="2512E413" w14:textId="26813D87" w:rsidR="0028750A" w:rsidRDefault="0078217D" w:rsidP="00406FDF">
      <w:pPr>
        <w:spacing w:line="480" w:lineRule="auto"/>
        <w:jc w:val="both"/>
        <w:rPr>
          <w:sz w:val="24"/>
          <w:szCs w:val="24"/>
        </w:rPr>
      </w:pPr>
      <w:r w:rsidRPr="00C74A1C">
        <w:rPr>
          <w:sz w:val="24"/>
          <w:szCs w:val="24"/>
        </w:rPr>
        <w:t xml:space="preserve">The breakdown of liquidity in normally robust financial markets presents one of the enduring questions from the recent financial crisis. </w:t>
      </w:r>
      <w:r w:rsidR="00221D7C">
        <w:rPr>
          <w:sz w:val="24"/>
          <w:szCs w:val="24"/>
        </w:rPr>
        <w:t>During the crisis, central bank intervention failed to enhance liquidity, and over short intervals, crowded out private liquidity (</w:t>
      </w:r>
      <w:r w:rsidR="003F0D2F">
        <w:rPr>
          <w:sz w:val="24"/>
          <w:szCs w:val="24"/>
        </w:rPr>
        <w:t>Brunetti, di Filippo and Harris (2011)</w:t>
      </w:r>
      <w:r w:rsidR="00221D7C">
        <w:rPr>
          <w:sz w:val="24"/>
          <w:szCs w:val="24"/>
        </w:rPr>
        <w:t>). In addition, precautionary hoarding by relatively weak banks during the crisis appeared to exacerbate market liquidity problems as well</w:t>
      </w:r>
      <w:r w:rsidR="00242D12">
        <w:rPr>
          <w:sz w:val="24"/>
          <w:szCs w:val="24"/>
        </w:rPr>
        <w:t>.</w:t>
      </w:r>
      <w:r w:rsidR="00EE6E00">
        <w:rPr>
          <w:rStyle w:val="FootnoteReference"/>
          <w:sz w:val="24"/>
          <w:szCs w:val="24"/>
        </w:rPr>
        <w:footnoteReference w:id="1"/>
      </w:r>
      <w:r w:rsidR="00242D12">
        <w:rPr>
          <w:sz w:val="24"/>
          <w:szCs w:val="24"/>
        </w:rPr>
        <w:t xml:space="preserve"> </w:t>
      </w:r>
      <w:r w:rsidR="00221D7C">
        <w:rPr>
          <w:sz w:val="24"/>
          <w:szCs w:val="24"/>
        </w:rPr>
        <w:t>Given the central role that banks play in providing valuable liquidity to many markets</w:t>
      </w:r>
      <w:r w:rsidR="007B649A">
        <w:rPr>
          <w:sz w:val="24"/>
          <w:szCs w:val="24"/>
        </w:rPr>
        <w:t xml:space="preserve">, </w:t>
      </w:r>
      <w:r w:rsidR="00221D7C">
        <w:rPr>
          <w:sz w:val="24"/>
          <w:szCs w:val="24"/>
        </w:rPr>
        <w:t xml:space="preserve">the </w:t>
      </w:r>
      <w:r w:rsidR="007B649A">
        <w:rPr>
          <w:sz w:val="24"/>
          <w:szCs w:val="24"/>
        </w:rPr>
        <w:t>interbank market</w:t>
      </w:r>
      <w:r w:rsidR="007B1F45">
        <w:rPr>
          <w:sz w:val="24"/>
          <w:szCs w:val="24"/>
        </w:rPr>
        <w:t xml:space="preserve"> </w:t>
      </w:r>
      <w:r w:rsidR="00221D7C">
        <w:rPr>
          <w:sz w:val="24"/>
          <w:szCs w:val="24"/>
        </w:rPr>
        <w:t xml:space="preserve">plays </w:t>
      </w:r>
      <w:r w:rsidR="007B649A">
        <w:rPr>
          <w:sz w:val="24"/>
          <w:szCs w:val="24"/>
        </w:rPr>
        <w:t xml:space="preserve">a significant </w:t>
      </w:r>
      <w:r w:rsidR="00221D7C">
        <w:rPr>
          <w:sz w:val="24"/>
          <w:szCs w:val="24"/>
        </w:rPr>
        <w:t xml:space="preserve">role in facilitating </w:t>
      </w:r>
      <w:r w:rsidR="007B1F45">
        <w:rPr>
          <w:sz w:val="24"/>
          <w:szCs w:val="24"/>
        </w:rPr>
        <w:t>market liquidity</w:t>
      </w:r>
      <w:r w:rsidR="007B649A">
        <w:rPr>
          <w:sz w:val="24"/>
          <w:szCs w:val="24"/>
        </w:rPr>
        <w:t>.</w:t>
      </w:r>
      <w:r w:rsidR="00E57A69">
        <w:rPr>
          <w:rStyle w:val="FootnoteReference"/>
          <w:sz w:val="24"/>
          <w:szCs w:val="24"/>
        </w:rPr>
        <w:footnoteReference w:id="2"/>
      </w:r>
      <w:r w:rsidR="007B649A">
        <w:rPr>
          <w:sz w:val="24"/>
          <w:szCs w:val="24"/>
        </w:rPr>
        <w:t xml:space="preserve"> </w:t>
      </w:r>
    </w:p>
    <w:p w14:paraId="10AFFB49" w14:textId="2E2AB819" w:rsidR="00F550C9" w:rsidRDefault="00C87047" w:rsidP="00590E71">
      <w:pPr>
        <w:spacing w:line="480" w:lineRule="auto"/>
        <w:ind w:firstLine="720"/>
        <w:jc w:val="both"/>
        <w:rPr>
          <w:sz w:val="24"/>
          <w:szCs w:val="24"/>
        </w:rPr>
      </w:pPr>
      <w:r>
        <w:rPr>
          <w:sz w:val="24"/>
          <w:szCs w:val="24"/>
        </w:rPr>
        <w:t xml:space="preserve">In this paper, we study </w:t>
      </w:r>
      <w:r w:rsidR="007B649A">
        <w:rPr>
          <w:sz w:val="24"/>
          <w:szCs w:val="24"/>
        </w:rPr>
        <w:t xml:space="preserve">interconnectedness in the </w:t>
      </w:r>
      <w:r w:rsidR="00472A76">
        <w:rPr>
          <w:sz w:val="24"/>
          <w:szCs w:val="24"/>
        </w:rPr>
        <w:t xml:space="preserve">European </w:t>
      </w:r>
      <w:r w:rsidR="007B649A">
        <w:rPr>
          <w:sz w:val="24"/>
          <w:szCs w:val="24"/>
        </w:rPr>
        <w:t xml:space="preserve">interbank market to explore </w:t>
      </w:r>
      <w:r w:rsidR="00F550C9">
        <w:rPr>
          <w:sz w:val="24"/>
          <w:szCs w:val="24"/>
        </w:rPr>
        <w:t xml:space="preserve">whether and </w:t>
      </w:r>
      <w:r>
        <w:rPr>
          <w:sz w:val="24"/>
          <w:szCs w:val="24"/>
        </w:rPr>
        <w:t xml:space="preserve">how </w:t>
      </w:r>
      <w:r w:rsidR="00221D7C">
        <w:rPr>
          <w:sz w:val="24"/>
          <w:szCs w:val="24"/>
        </w:rPr>
        <w:t xml:space="preserve">bank </w:t>
      </w:r>
      <w:r>
        <w:rPr>
          <w:sz w:val="24"/>
          <w:szCs w:val="24"/>
        </w:rPr>
        <w:t xml:space="preserve">interconnectedness </w:t>
      </w:r>
      <w:r w:rsidR="001C22DB">
        <w:rPr>
          <w:sz w:val="24"/>
          <w:szCs w:val="24"/>
        </w:rPr>
        <w:t xml:space="preserve">evolves during the crisis using network metrics—the </w:t>
      </w:r>
      <w:r w:rsidR="00D45548">
        <w:rPr>
          <w:sz w:val="24"/>
          <w:szCs w:val="24"/>
        </w:rPr>
        <w:t xml:space="preserve">correlation </w:t>
      </w:r>
      <w:r w:rsidR="001C22DB">
        <w:rPr>
          <w:sz w:val="24"/>
          <w:szCs w:val="24"/>
        </w:rPr>
        <w:t>(</w:t>
      </w:r>
      <w:r w:rsidR="00D45548">
        <w:rPr>
          <w:sz w:val="24"/>
          <w:szCs w:val="24"/>
        </w:rPr>
        <w:t>Granger-causality</w:t>
      </w:r>
      <w:r w:rsidR="001C22DB">
        <w:rPr>
          <w:sz w:val="24"/>
          <w:szCs w:val="24"/>
        </w:rPr>
        <w:t xml:space="preserve">) networks </w:t>
      </w:r>
      <w:r w:rsidR="00D45548">
        <w:rPr>
          <w:sz w:val="24"/>
          <w:szCs w:val="24"/>
        </w:rPr>
        <w:t>of bank stock returns (</w:t>
      </w:r>
      <w:r w:rsidR="001C22DB">
        <w:rPr>
          <w:sz w:val="24"/>
          <w:szCs w:val="24"/>
        </w:rPr>
        <w:t>Billio, Getmansky, Lo and Pelizzo</w:t>
      </w:r>
      <w:r w:rsidR="0017211E">
        <w:rPr>
          <w:sz w:val="24"/>
          <w:szCs w:val="24"/>
        </w:rPr>
        <w:t>n (2012</w:t>
      </w:r>
      <w:r w:rsidR="001C22DB">
        <w:rPr>
          <w:sz w:val="24"/>
          <w:szCs w:val="24"/>
        </w:rPr>
        <w:t>)</w:t>
      </w:r>
      <w:r w:rsidR="00D45548">
        <w:rPr>
          <w:sz w:val="24"/>
          <w:szCs w:val="24"/>
        </w:rPr>
        <w:t>)</w:t>
      </w:r>
      <w:r w:rsidR="001C22DB">
        <w:rPr>
          <w:sz w:val="24"/>
          <w:szCs w:val="24"/>
        </w:rPr>
        <w:t xml:space="preserve"> and the physical interbank trading networks. </w:t>
      </w:r>
      <w:r w:rsidR="00E57A69">
        <w:rPr>
          <w:sz w:val="24"/>
          <w:szCs w:val="24"/>
        </w:rPr>
        <w:t xml:space="preserve">We study how interconnectedness </w:t>
      </w:r>
      <w:r w:rsidR="00D45548">
        <w:rPr>
          <w:sz w:val="24"/>
          <w:szCs w:val="24"/>
        </w:rPr>
        <w:t xml:space="preserve">in these networks </w:t>
      </w:r>
      <w:r w:rsidR="0028750A">
        <w:rPr>
          <w:sz w:val="24"/>
          <w:szCs w:val="24"/>
        </w:rPr>
        <w:t>is affected by monetary and macroeconomic shocks</w:t>
      </w:r>
      <w:r w:rsidR="00082DFB">
        <w:rPr>
          <w:sz w:val="24"/>
          <w:szCs w:val="24"/>
        </w:rPr>
        <w:t xml:space="preserve"> </w:t>
      </w:r>
      <w:r w:rsidR="007F5121">
        <w:rPr>
          <w:sz w:val="24"/>
          <w:szCs w:val="24"/>
        </w:rPr>
        <w:t>related to</w:t>
      </w:r>
      <w:r w:rsidR="00082DFB">
        <w:rPr>
          <w:sz w:val="24"/>
          <w:szCs w:val="24"/>
        </w:rPr>
        <w:t xml:space="preserve"> </w:t>
      </w:r>
      <w:r w:rsidR="0017211E">
        <w:rPr>
          <w:sz w:val="24"/>
          <w:szCs w:val="24"/>
        </w:rPr>
        <w:t>European C</w:t>
      </w:r>
      <w:r w:rsidR="00E57A69">
        <w:rPr>
          <w:sz w:val="24"/>
          <w:szCs w:val="24"/>
        </w:rPr>
        <w:t xml:space="preserve">entral </w:t>
      </w:r>
      <w:r w:rsidR="0017211E">
        <w:rPr>
          <w:sz w:val="24"/>
          <w:szCs w:val="24"/>
        </w:rPr>
        <w:t>B</w:t>
      </w:r>
      <w:r w:rsidR="00E57A69">
        <w:rPr>
          <w:sz w:val="24"/>
          <w:szCs w:val="24"/>
        </w:rPr>
        <w:t xml:space="preserve">ank </w:t>
      </w:r>
      <w:r w:rsidR="007F5121">
        <w:rPr>
          <w:sz w:val="24"/>
          <w:szCs w:val="24"/>
        </w:rPr>
        <w:t xml:space="preserve">(ECB) </w:t>
      </w:r>
      <w:r w:rsidR="00E57A69">
        <w:rPr>
          <w:sz w:val="24"/>
          <w:szCs w:val="24"/>
        </w:rPr>
        <w:t>interventio</w:t>
      </w:r>
      <w:r w:rsidR="0028750A">
        <w:rPr>
          <w:sz w:val="24"/>
          <w:szCs w:val="24"/>
        </w:rPr>
        <w:t>ns and announcements</w:t>
      </w:r>
      <w:r w:rsidR="007F5121">
        <w:rPr>
          <w:sz w:val="24"/>
          <w:szCs w:val="24"/>
        </w:rPr>
        <w:t xml:space="preserve"> of both </w:t>
      </w:r>
      <w:r w:rsidR="007F5121">
        <w:rPr>
          <w:rFonts w:ascii="Century" w:hAnsi="Century"/>
          <w:sz w:val="24"/>
          <w:szCs w:val="24"/>
        </w:rPr>
        <w:t>conventional and unconventional ECB operations</w:t>
      </w:r>
      <w:r w:rsidR="007F5121">
        <w:rPr>
          <w:rFonts w:ascii="Century" w:hAnsi="Century"/>
          <w:sz w:val="24"/>
          <w:szCs w:val="24"/>
        </w:rPr>
        <w:t xml:space="preserve"> (see </w:t>
      </w:r>
      <w:r w:rsidR="007F5121">
        <w:rPr>
          <w:rFonts w:ascii="Century" w:hAnsi="Century"/>
          <w:sz w:val="24"/>
          <w:szCs w:val="24"/>
        </w:rPr>
        <w:t>Rogers, Scotti and Wright (2014)</w:t>
      </w:r>
      <w:r w:rsidR="007F5121">
        <w:rPr>
          <w:rFonts w:ascii="Century" w:hAnsi="Century"/>
          <w:sz w:val="24"/>
          <w:szCs w:val="24"/>
        </w:rPr>
        <w:t>)</w:t>
      </w:r>
      <w:r w:rsidR="00221D7C">
        <w:rPr>
          <w:sz w:val="24"/>
          <w:szCs w:val="24"/>
        </w:rPr>
        <w:t xml:space="preserve">. Further, we explore </w:t>
      </w:r>
      <w:r w:rsidR="00E57A69">
        <w:rPr>
          <w:sz w:val="24"/>
          <w:szCs w:val="24"/>
        </w:rPr>
        <w:t xml:space="preserve">whether interconnectedness </w:t>
      </w:r>
      <w:r w:rsidR="00D45548">
        <w:rPr>
          <w:sz w:val="24"/>
          <w:szCs w:val="24"/>
        </w:rPr>
        <w:t xml:space="preserve">metrics </w:t>
      </w:r>
      <w:r w:rsidR="00E57A69">
        <w:rPr>
          <w:sz w:val="24"/>
          <w:szCs w:val="24"/>
        </w:rPr>
        <w:t>help to forecast financial and economic activity</w:t>
      </w:r>
      <w:r w:rsidR="00F71E35">
        <w:rPr>
          <w:sz w:val="24"/>
          <w:szCs w:val="24"/>
        </w:rPr>
        <w:t>.</w:t>
      </w:r>
    </w:p>
    <w:p w14:paraId="509D1208" w14:textId="183AB152" w:rsidR="00D45548" w:rsidRDefault="00D45548" w:rsidP="00D45548">
      <w:pPr>
        <w:spacing w:line="480" w:lineRule="auto"/>
        <w:ind w:firstLine="720"/>
        <w:jc w:val="both"/>
        <w:rPr>
          <w:sz w:val="24"/>
          <w:szCs w:val="24"/>
        </w:rPr>
      </w:pPr>
      <w:r>
        <w:rPr>
          <w:sz w:val="24"/>
          <w:szCs w:val="24"/>
        </w:rPr>
        <w:t xml:space="preserve">We show that during the crisis, physical network connectedness drops significantly reflecting hoarding behavior among banks </w:t>
      </w:r>
      <w:r w:rsidRPr="008E0A39">
        <w:rPr>
          <w:sz w:val="24"/>
          <w:szCs w:val="24"/>
        </w:rPr>
        <w:t>which impair</w:t>
      </w:r>
      <w:r>
        <w:rPr>
          <w:sz w:val="24"/>
          <w:szCs w:val="24"/>
        </w:rPr>
        <w:t>s</w:t>
      </w:r>
      <w:r w:rsidRPr="008E0A39">
        <w:rPr>
          <w:sz w:val="24"/>
          <w:szCs w:val="24"/>
        </w:rPr>
        <w:t xml:space="preserve"> </w:t>
      </w:r>
      <w:r>
        <w:rPr>
          <w:sz w:val="24"/>
          <w:szCs w:val="24"/>
        </w:rPr>
        <w:t xml:space="preserve">interbank </w:t>
      </w:r>
      <w:r w:rsidRPr="008E0A39">
        <w:rPr>
          <w:sz w:val="24"/>
          <w:szCs w:val="24"/>
        </w:rPr>
        <w:lastRenderedPageBreak/>
        <w:t>market liquidity</w:t>
      </w:r>
      <w:r>
        <w:rPr>
          <w:sz w:val="24"/>
          <w:szCs w:val="24"/>
        </w:rPr>
        <w:t>.</w:t>
      </w:r>
      <w:r w:rsidRPr="00D45548">
        <w:rPr>
          <w:sz w:val="24"/>
          <w:szCs w:val="24"/>
        </w:rPr>
        <w:t xml:space="preserve"> </w:t>
      </w:r>
      <w:r>
        <w:rPr>
          <w:sz w:val="24"/>
          <w:szCs w:val="24"/>
        </w:rPr>
        <w:t>Conversely, and s</w:t>
      </w:r>
      <w:r>
        <w:rPr>
          <w:sz w:val="24"/>
          <w:szCs w:val="24"/>
        </w:rPr>
        <w:t xml:space="preserve">imilar to </w:t>
      </w:r>
      <w:r>
        <w:rPr>
          <w:sz w:val="24"/>
          <w:szCs w:val="24"/>
        </w:rPr>
        <w:t xml:space="preserve">results in </w:t>
      </w:r>
      <w:r>
        <w:rPr>
          <w:sz w:val="24"/>
          <w:szCs w:val="24"/>
        </w:rPr>
        <w:t xml:space="preserve">Billio et al. (2012), we find that European bank correlation networks reveal increased connectedness </w:t>
      </w:r>
      <w:r>
        <w:rPr>
          <w:sz w:val="24"/>
          <w:szCs w:val="24"/>
        </w:rPr>
        <w:t>during the crisis.  These n</w:t>
      </w:r>
      <w:r>
        <w:rPr>
          <w:sz w:val="24"/>
          <w:szCs w:val="24"/>
        </w:rPr>
        <w:t xml:space="preserve">etwork decompositions show that correlation and physical networks evolve differently and reflect different economic content. </w:t>
      </w:r>
      <w:r>
        <w:rPr>
          <w:sz w:val="24"/>
          <w:szCs w:val="24"/>
        </w:rPr>
        <w:t xml:space="preserve">While the physical trading network reveals the breakdown between banks, the correlation network reveals that banks equity returns were </w:t>
      </w:r>
      <w:r>
        <w:rPr>
          <w:sz w:val="24"/>
          <w:szCs w:val="24"/>
        </w:rPr>
        <w:t xml:space="preserve">driven by </w:t>
      </w:r>
      <w:r>
        <w:rPr>
          <w:sz w:val="24"/>
          <w:szCs w:val="24"/>
        </w:rPr>
        <w:t xml:space="preserve">a common </w:t>
      </w:r>
      <w:r>
        <w:rPr>
          <w:sz w:val="24"/>
          <w:szCs w:val="24"/>
        </w:rPr>
        <w:t>factor</w:t>
      </w:r>
      <w:r>
        <w:rPr>
          <w:sz w:val="24"/>
          <w:szCs w:val="24"/>
        </w:rPr>
        <w:t xml:space="preserve"> during the crisis</w:t>
      </w:r>
      <w:r>
        <w:rPr>
          <w:sz w:val="24"/>
          <w:szCs w:val="24"/>
        </w:rPr>
        <w:t>.</w:t>
      </w:r>
    </w:p>
    <w:p w14:paraId="4D9DDE19" w14:textId="0AEBB0AC" w:rsidR="006254D0" w:rsidRDefault="00D45548" w:rsidP="0028750A">
      <w:pPr>
        <w:spacing w:line="480" w:lineRule="auto"/>
        <w:ind w:firstLine="720"/>
        <w:jc w:val="both"/>
        <w:rPr>
          <w:sz w:val="24"/>
          <w:szCs w:val="24"/>
        </w:rPr>
      </w:pPr>
      <w:r>
        <w:rPr>
          <w:sz w:val="24"/>
          <w:szCs w:val="24"/>
        </w:rPr>
        <w:t>Moreover</w:t>
      </w:r>
      <w:r w:rsidR="001A32FD">
        <w:rPr>
          <w:sz w:val="24"/>
          <w:szCs w:val="24"/>
        </w:rPr>
        <w:t xml:space="preserve">, we find that </w:t>
      </w:r>
      <w:r w:rsidR="00246A03">
        <w:rPr>
          <w:sz w:val="24"/>
          <w:szCs w:val="24"/>
        </w:rPr>
        <w:t xml:space="preserve">correlation and physical networks respond differently to monetary and macroeconomic shocks. </w:t>
      </w:r>
      <w:r w:rsidR="006254D0">
        <w:rPr>
          <w:sz w:val="24"/>
          <w:szCs w:val="24"/>
        </w:rPr>
        <w:t xml:space="preserve">Early in </w:t>
      </w:r>
      <w:r w:rsidR="006254D0" w:rsidRPr="00C74A1C">
        <w:rPr>
          <w:sz w:val="24"/>
          <w:szCs w:val="24"/>
        </w:rPr>
        <w:t>the crisis, central banks intervene</w:t>
      </w:r>
      <w:r w:rsidR="006254D0">
        <w:rPr>
          <w:sz w:val="24"/>
          <w:szCs w:val="24"/>
        </w:rPr>
        <w:t>d</w:t>
      </w:r>
      <w:r w:rsidR="006254D0" w:rsidRPr="00C74A1C">
        <w:rPr>
          <w:sz w:val="24"/>
          <w:szCs w:val="24"/>
        </w:rPr>
        <w:t xml:space="preserve"> heavily</w:t>
      </w:r>
      <w:r w:rsidR="006254D0">
        <w:rPr>
          <w:sz w:val="24"/>
          <w:szCs w:val="24"/>
        </w:rPr>
        <w:t xml:space="preserve">, </w:t>
      </w:r>
      <w:r w:rsidR="006254D0" w:rsidRPr="00C74A1C">
        <w:rPr>
          <w:sz w:val="24"/>
          <w:szCs w:val="24"/>
        </w:rPr>
        <w:t>attempt</w:t>
      </w:r>
      <w:r w:rsidR="006254D0">
        <w:rPr>
          <w:sz w:val="24"/>
          <w:szCs w:val="24"/>
        </w:rPr>
        <w:t>ing</w:t>
      </w:r>
      <w:r w:rsidR="006254D0" w:rsidRPr="00C74A1C">
        <w:rPr>
          <w:sz w:val="24"/>
          <w:szCs w:val="24"/>
        </w:rPr>
        <w:t xml:space="preserve"> to promote funding and market liquidity</w:t>
      </w:r>
      <w:r w:rsidR="006254D0">
        <w:rPr>
          <w:sz w:val="24"/>
          <w:szCs w:val="24"/>
        </w:rPr>
        <w:t>.</w:t>
      </w:r>
      <w:r w:rsidR="006254D0" w:rsidRPr="00C74A1C">
        <w:rPr>
          <w:sz w:val="24"/>
          <w:szCs w:val="24"/>
        </w:rPr>
        <w:t xml:space="preserve"> </w:t>
      </w:r>
      <w:r w:rsidR="006254D0">
        <w:rPr>
          <w:sz w:val="24"/>
          <w:szCs w:val="24"/>
        </w:rPr>
        <w:t>Interconnectedness in p</w:t>
      </w:r>
      <w:r w:rsidR="00246A03">
        <w:rPr>
          <w:sz w:val="24"/>
          <w:szCs w:val="24"/>
        </w:rPr>
        <w:t>hysical network</w:t>
      </w:r>
      <w:r w:rsidR="001A32FD">
        <w:rPr>
          <w:sz w:val="24"/>
          <w:szCs w:val="24"/>
        </w:rPr>
        <w:t>s</w:t>
      </w:r>
      <w:r w:rsidR="00246A03">
        <w:rPr>
          <w:sz w:val="24"/>
          <w:szCs w:val="24"/>
        </w:rPr>
        <w:t xml:space="preserve"> </w:t>
      </w:r>
      <w:r w:rsidR="00246A03" w:rsidRPr="00C311F4">
        <w:rPr>
          <w:sz w:val="24"/>
          <w:szCs w:val="24"/>
        </w:rPr>
        <w:t>adjust</w:t>
      </w:r>
      <w:r w:rsidR="00246A03">
        <w:rPr>
          <w:sz w:val="24"/>
          <w:szCs w:val="24"/>
        </w:rPr>
        <w:t xml:space="preserve"> </w:t>
      </w:r>
      <w:r w:rsidR="00082DFB">
        <w:rPr>
          <w:sz w:val="24"/>
          <w:szCs w:val="24"/>
        </w:rPr>
        <w:t xml:space="preserve">strongly and </w:t>
      </w:r>
      <w:r w:rsidR="00246A03">
        <w:rPr>
          <w:sz w:val="24"/>
          <w:szCs w:val="24"/>
        </w:rPr>
        <w:t>quickly</w:t>
      </w:r>
      <w:r w:rsidR="00246A03" w:rsidRPr="00C311F4">
        <w:rPr>
          <w:sz w:val="24"/>
          <w:szCs w:val="24"/>
        </w:rPr>
        <w:t xml:space="preserve"> to </w:t>
      </w:r>
      <w:r w:rsidR="006254D0">
        <w:rPr>
          <w:sz w:val="24"/>
          <w:szCs w:val="24"/>
        </w:rPr>
        <w:t xml:space="preserve">these </w:t>
      </w:r>
      <w:r w:rsidR="007F5121">
        <w:rPr>
          <w:sz w:val="24"/>
          <w:szCs w:val="24"/>
        </w:rPr>
        <w:t xml:space="preserve">central bank operations and to announcements of </w:t>
      </w:r>
      <w:r w:rsidR="00246A03" w:rsidRPr="00C311F4">
        <w:rPr>
          <w:sz w:val="24"/>
          <w:szCs w:val="24"/>
        </w:rPr>
        <w:t>new information, revealing important market charac</w:t>
      </w:r>
      <w:r w:rsidR="00246A03">
        <w:rPr>
          <w:sz w:val="24"/>
          <w:szCs w:val="24"/>
        </w:rPr>
        <w:t>teristics related to interbank trading</w:t>
      </w:r>
      <w:r w:rsidR="001A32FD">
        <w:rPr>
          <w:sz w:val="24"/>
          <w:szCs w:val="24"/>
        </w:rPr>
        <w:t xml:space="preserve"> at short </w:t>
      </w:r>
      <w:r w:rsidR="003A5106">
        <w:rPr>
          <w:sz w:val="24"/>
          <w:szCs w:val="24"/>
        </w:rPr>
        <w:t xml:space="preserve">(daily) </w:t>
      </w:r>
      <w:r w:rsidR="001A32FD">
        <w:rPr>
          <w:sz w:val="24"/>
          <w:szCs w:val="24"/>
        </w:rPr>
        <w:t>horizons</w:t>
      </w:r>
      <w:r>
        <w:rPr>
          <w:sz w:val="24"/>
          <w:szCs w:val="24"/>
        </w:rPr>
        <w:t xml:space="preserve">. </w:t>
      </w:r>
      <w:r w:rsidR="006254D0">
        <w:rPr>
          <w:sz w:val="24"/>
          <w:szCs w:val="24"/>
        </w:rPr>
        <w:t xml:space="preserve">Conversely, interconnectedness in correlation networks changes little in response to these events, presumably since these announcements and interventions have little impact on the common factor driving stock returns.  </w:t>
      </w:r>
      <w:r w:rsidR="007F5121">
        <w:rPr>
          <w:sz w:val="24"/>
          <w:szCs w:val="24"/>
        </w:rPr>
        <w:t xml:space="preserve">In this </w:t>
      </w:r>
      <w:r w:rsidR="006254D0">
        <w:rPr>
          <w:sz w:val="24"/>
          <w:szCs w:val="24"/>
        </w:rPr>
        <w:t xml:space="preserve">light, monitoring the response of the interbank market to announcements and interventions is more valuable to </w:t>
      </w:r>
      <w:r w:rsidR="007F5121">
        <w:rPr>
          <w:sz w:val="24"/>
          <w:szCs w:val="24"/>
        </w:rPr>
        <w:t xml:space="preserve">policy </w:t>
      </w:r>
      <w:r w:rsidR="006254D0">
        <w:rPr>
          <w:sz w:val="24"/>
          <w:szCs w:val="24"/>
        </w:rPr>
        <w:t xml:space="preserve">makers interested in enhancing </w:t>
      </w:r>
      <w:r>
        <w:rPr>
          <w:sz w:val="24"/>
          <w:szCs w:val="24"/>
        </w:rPr>
        <w:t xml:space="preserve">interconnectedness </w:t>
      </w:r>
      <w:r w:rsidR="006254D0">
        <w:rPr>
          <w:sz w:val="24"/>
          <w:szCs w:val="24"/>
        </w:rPr>
        <w:t>among banks.</w:t>
      </w:r>
    </w:p>
    <w:p w14:paraId="4CA474F5" w14:textId="77777777" w:rsidR="00433061" w:rsidRDefault="006254D0" w:rsidP="006254D0">
      <w:pPr>
        <w:spacing w:line="480" w:lineRule="auto"/>
        <w:ind w:firstLine="720"/>
        <w:jc w:val="both"/>
        <w:rPr>
          <w:sz w:val="24"/>
          <w:szCs w:val="24"/>
        </w:rPr>
      </w:pPr>
      <w:r>
        <w:rPr>
          <w:sz w:val="24"/>
          <w:szCs w:val="24"/>
        </w:rPr>
        <w:t xml:space="preserve">We further explore this line of thought to test whether interconnectedness </w:t>
      </w:r>
      <w:r w:rsidR="00D45548">
        <w:rPr>
          <w:sz w:val="24"/>
          <w:szCs w:val="24"/>
        </w:rPr>
        <w:t>measures might serve to forecast short-term economic conditions.</w:t>
      </w:r>
      <w:r>
        <w:rPr>
          <w:sz w:val="24"/>
          <w:szCs w:val="24"/>
        </w:rPr>
        <w:t xml:space="preserve"> </w:t>
      </w:r>
      <w:r w:rsidR="00E70A83">
        <w:rPr>
          <w:sz w:val="24"/>
          <w:szCs w:val="24"/>
        </w:rPr>
        <w:t>We show that c</w:t>
      </w:r>
      <w:r w:rsidR="00E62686">
        <w:rPr>
          <w:sz w:val="24"/>
          <w:szCs w:val="24"/>
        </w:rPr>
        <w:t xml:space="preserve">orrelation networks can </w:t>
      </w:r>
      <w:r w:rsidR="0084520F" w:rsidRPr="00C74A1C">
        <w:rPr>
          <w:sz w:val="24"/>
          <w:szCs w:val="24"/>
        </w:rPr>
        <w:t xml:space="preserve">identify </w:t>
      </w:r>
      <w:r w:rsidR="00E62686">
        <w:rPr>
          <w:sz w:val="24"/>
          <w:szCs w:val="24"/>
        </w:rPr>
        <w:t>(and forecast) periods of impending financial crises. Co</w:t>
      </w:r>
      <w:r w:rsidR="00E70A83">
        <w:rPr>
          <w:sz w:val="24"/>
          <w:szCs w:val="24"/>
        </w:rPr>
        <w:t>mplementarily</w:t>
      </w:r>
      <w:r w:rsidR="00E62686">
        <w:rPr>
          <w:sz w:val="24"/>
          <w:szCs w:val="24"/>
        </w:rPr>
        <w:t xml:space="preserve">, </w:t>
      </w:r>
      <w:r w:rsidR="00D75734">
        <w:rPr>
          <w:sz w:val="24"/>
          <w:szCs w:val="24"/>
        </w:rPr>
        <w:t xml:space="preserve">physical </w:t>
      </w:r>
      <w:r>
        <w:rPr>
          <w:sz w:val="24"/>
          <w:szCs w:val="24"/>
        </w:rPr>
        <w:t xml:space="preserve">interbank trading </w:t>
      </w:r>
      <w:r w:rsidR="00E62686">
        <w:rPr>
          <w:sz w:val="24"/>
          <w:szCs w:val="24"/>
        </w:rPr>
        <w:t xml:space="preserve">networks </w:t>
      </w:r>
      <w:r>
        <w:rPr>
          <w:sz w:val="24"/>
          <w:szCs w:val="24"/>
        </w:rPr>
        <w:t>serve to</w:t>
      </w:r>
      <w:r w:rsidR="00E62686">
        <w:rPr>
          <w:sz w:val="24"/>
          <w:szCs w:val="24"/>
        </w:rPr>
        <w:t xml:space="preserve"> </w:t>
      </w:r>
      <w:r w:rsidR="005A5507">
        <w:rPr>
          <w:sz w:val="24"/>
          <w:szCs w:val="24"/>
        </w:rPr>
        <w:t xml:space="preserve">identify </w:t>
      </w:r>
      <w:r w:rsidR="00433061">
        <w:rPr>
          <w:sz w:val="24"/>
          <w:szCs w:val="24"/>
        </w:rPr>
        <w:t>weakening interconnectedness in the interbank system that may lead to liquidity problems.</w:t>
      </w:r>
    </w:p>
    <w:p w14:paraId="1FED6624" w14:textId="1840DE74" w:rsidR="009C1532" w:rsidRDefault="00433061" w:rsidP="009C1532">
      <w:pPr>
        <w:spacing w:line="480" w:lineRule="auto"/>
        <w:ind w:firstLine="720"/>
        <w:jc w:val="both"/>
        <w:rPr>
          <w:sz w:val="24"/>
          <w:szCs w:val="24"/>
        </w:rPr>
      </w:pPr>
      <w:r>
        <w:rPr>
          <w:sz w:val="24"/>
          <w:szCs w:val="24"/>
        </w:rPr>
        <w:lastRenderedPageBreak/>
        <w:t xml:space="preserve">From a policy perspective, understanding both types of networks can be useful. </w:t>
      </w:r>
      <w:r>
        <w:rPr>
          <w:sz w:val="24"/>
          <w:szCs w:val="24"/>
        </w:rPr>
        <w:t>C</w:t>
      </w:r>
      <w:r w:rsidRPr="0069181D">
        <w:rPr>
          <w:sz w:val="24"/>
          <w:szCs w:val="24"/>
        </w:rPr>
        <w:t>orrelation network</w:t>
      </w:r>
      <w:r>
        <w:rPr>
          <w:sz w:val="24"/>
          <w:szCs w:val="24"/>
        </w:rPr>
        <w:t>s</w:t>
      </w:r>
      <w:r w:rsidRPr="0069181D">
        <w:rPr>
          <w:sz w:val="24"/>
          <w:szCs w:val="24"/>
        </w:rPr>
        <w:t xml:space="preserve"> constructed from </w:t>
      </w:r>
      <w:r>
        <w:rPr>
          <w:sz w:val="24"/>
          <w:szCs w:val="24"/>
        </w:rPr>
        <w:t xml:space="preserve">equity </w:t>
      </w:r>
      <w:r w:rsidRPr="0069181D">
        <w:rPr>
          <w:sz w:val="24"/>
          <w:szCs w:val="24"/>
        </w:rPr>
        <w:t xml:space="preserve">market </w:t>
      </w:r>
      <w:r>
        <w:rPr>
          <w:sz w:val="24"/>
          <w:szCs w:val="24"/>
        </w:rPr>
        <w:t xml:space="preserve">returns rely on </w:t>
      </w:r>
      <w:r w:rsidRPr="0069181D">
        <w:rPr>
          <w:sz w:val="24"/>
          <w:szCs w:val="24"/>
        </w:rPr>
        <w:t>publicly</w:t>
      </w:r>
      <w:r>
        <w:rPr>
          <w:sz w:val="24"/>
          <w:szCs w:val="24"/>
        </w:rPr>
        <w:t xml:space="preserve">-traded equity prices </w:t>
      </w:r>
      <w:r>
        <w:rPr>
          <w:sz w:val="24"/>
          <w:szCs w:val="24"/>
        </w:rPr>
        <w:t>so</w:t>
      </w:r>
      <w:r>
        <w:rPr>
          <w:sz w:val="24"/>
          <w:szCs w:val="24"/>
        </w:rPr>
        <w:t xml:space="preserve"> cannot isolate problem banks </w:t>
      </w:r>
      <w:r>
        <w:rPr>
          <w:sz w:val="24"/>
          <w:szCs w:val="24"/>
        </w:rPr>
        <w:t>which are</w:t>
      </w:r>
      <w:r>
        <w:rPr>
          <w:sz w:val="24"/>
          <w:szCs w:val="24"/>
        </w:rPr>
        <w:t xml:space="preserve"> privately held. </w:t>
      </w:r>
      <w:r>
        <w:rPr>
          <w:sz w:val="24"/>
          <w:szCs w:val="24"/>
        </w:rPr>
        <w:t>Likewise, c</w:t>
      </w:r>
      <w:r w:rsidRPr="0069181D">
        <w:rPr>
          <w:sz w:val="24"/>
          <w:szCs w:val="24"/>
        </w:rPr>
        <w:t xml:space="preserve">orrelation networks cannot </w:t>
      </w:r>
      <w:r>
        <w:rPr>
          <w:sz w:val="24"/>
          <w:szCs w:val="24"/>
        </w:rPr>
        <w:t xml:space="preserve">distinguish between common exposures and contagion, nor can they identify </w:t>
      </w:r>
      <w:r w:rsidRPr="0069181D">
        <w:rPr>
          <w:sz w:val="24"/>
          <w:szCs w:val="24"/>
        </w:rPr>
        <w:t xml:space="preserve">the different channels of contagion, a precondition for preventive </w:t>
      </w:r>
      <w:r>
        <w:rPr>
          <w:sz w:val="24"/>
          <w:szCs w:val="24"/>
        </w:rPr>
        <w:t xml:space="preserve">and palliative </w:t>
      </w:r>
      <w:r w:rsidRPr="0069181D">
        <w:rPr>
          <w:sz w:val="24"/>
          <w:szCs w:val="24"/>
        </w:rPr>
        <w:t>action</w:t>
      </w:r>
      <w:r>
        <w:rPr>
          <w:sz w:val="24"/>
          <w:szCs w:val="24"/>
        </w:rPr>
        <w:t>s</w:t>
      </w:r>
      <w:r w:rsidRPr="0069181D">
        <w:rPr>
          <w:sz w:val="24"/>
          <w:szCs w:val="24"/>
        </w:rPr>
        <w:t xml:space="preserve"> </w:t>
      </w:r>
      <w:r>
        <w:rPr>
          <w:sz w:val="24"/>
          <w:szCs w:val="24"/>
        </w:rPr>
        <w:t>by</w:t>
      </w:r>
      <w:r w:rsidRPr="0069181D">
        <w:rPr>
          <w:sz w:val="24"/>
          <w:szCs w:val="24"/>
        </w:rPr>
        <w:t xml:space="preserve"> policy makers and regulators.</w:t>
      </w:r>
      <w:r>
        <w:rPr>
          <w:sz w:val="24"/>
          <w:szCs w:val="24"/>
        </w:rPr>
        <w:t xml:space="preserve"> While correlation networks might better identify systemic risk,</w:t>
      </w:r>
      <w:r>
        <w:rPr>
          <w:rStyle w:val="FootnoteReference"/>
          <w:sz w:val="24"/>
          <w:szCs w:val="24"/>
        </w:rPr>
        <w:footnoteReference w:id="3"/>
      </w:r>
      <w:r>
        <w:rPr>
          <w:sz w:val="24"/>
          <w:szCs w:val="24"/>
        </w:rPr>
        <w:t xml:space="preserve"> physical networks respond to smaller exogenous shocks and are useful in identifying </w:t>
      </w:r>
      <w:r w:rsidRPr="00C74A1C">
        <w:rPr>
          <w:sz w:val="24"/>
          <w:szCs w:val="24"/>
        </w:rPr>
        <w:t xml:space="preserve">both systemically important </w:t>
      </w:r>
      <w:r>
        <w:rPr>
          <w:sz w:val="24"/>
          <w:szCs w:val="24"/>
        </w:rPr>
        <w:t>and</w:t>
      </w:r>
      <w:r w:rsidRPr="00C74A1C">
        <w:rPr>
          <w:sz w:val="24"/>
          <w:szCs w:val="24"/>
        </w:rPr>
        <w:t xml:space="preserve"> problem banks </w:t>
      </w:r>
      <w:r>
        <w:rPr>
          <w:sz w:val="24"/>
          <w:szCs w:val="24"/>
        </w:rPr>
        <w:t>on an on-going basis. Physical networks</w:t>
      </w:r>
      <w:r w:rsidR="009C1532">
        <w:rPr>
          <w:sz w:val="24"/>
          <w:szCs w:val="24"/>
        </w:rPr>
        <w:t xml:space="preserve"> are therefore more useful</w:t>
      </w:r>
      <w:r>
        <w:rPr>
          <w:sz w:val="24"/>
          <w:szCs w:val="24"/>
        </w:rPr>
        <w:t xml:space="preserve"> when exogenous shocks are not large enough to threaten systemic risk (i.e. most of the time)</w:t>
      </w:r>
      <w:r w:rsidRPr="00C74A1C">
        <w:rPr>
          <w:sz w:val="24"/>
          <w:szCs w:val="24"/>
        </w:rPr>
        <w:t>.</w:t>
      </w:r>
      <w:r>
        <w:rPr>
          <w:sz w:val="24"/>
          <w:szCs w:val="24"/>
        </w:rPr>
        <w:t xml:space="preserve"> </w:t>
      </w:r>
      <w:r w:rsidR="009C1532">
        <w:rPr>
          <w:sz w:val="24"/>
          <w:szCs w:val="24"/>
        </w:rPr>
        <w:t>Since</w:t>
      </w:r>
      <w:r w:rsidR="00AC7579">
        <w:rPr>
          <w:sz w:val="24"/>
          <w:szCs w:val="24"/>
        </w:rPr>
        <w:t xml:space="preserve"> market liquidity depends crucially on </w:t>
      </w:r>
      <w:r w:rsidR="00AC7579">
        <w:rPr>
          <w:sz w:val="24"/>
          <w:szCs w:val="24"/>
        </w:rPr>
        <w:t>the connectedness between banks</w:t>
      </w:r>
      <w:r w:rsidR="009C1532">
        <w:rPr>
          <w:sz w:val="24"/>
          <w:szCs w:val="24"/>
        </w:rPr>
        <w:t xml:space="preserve">, </w:t>
      </w:r>
      <w:r w:rsidR="00AC7579">
        <w:rPr>
          <w:sz w:val="24"/>
          <w:szCs w:val="24"/>
        </w:rPr>
        <w:t>regulators would be well suited to monitor the interbank market for early signs of liquidity problems.</w:t>
      </w:r>
      <w:r w:rsidR="00AC7579">
        <w:rPr>
          <w:sz w:val="24"/>
          <w:szCs w:val="24"/>
        </w:rPr>
        <w:t xml:space="preserve">  </w:t>
      </w:r>
    </w:p>
    <w:p w14:paraId="0D01B91C" w14:textId="717433BD" w:rsidR="0028750A" w:rsidRDefault="00E62686" w:rsidP="001A6807">
      <w:pPr>
        <w:spacing w:line="480" w:lineRule="auto"/>
        <w:ind w:firstLine="720"/>
        <w:jc w:val="both"/>
        <w:rPr>
          <w:sz w:val="24"/>
          <w:szCs w:val="24"/>
        </w:rPr>
      </w:pPr>
      <w:r w:rsidRPr="00C74A1C">
        <w:rPr>
          <w:sz w:val="24"/>
          <w:szCs w:val="24"/>
        </w:rPr>
        <w:t>Our work contributes to the literature on networks in finance</w:t>
      </w:r>
      <w:r w:rsidR="00535415">
        <w:rPr>
          <w:sz w:val="24"/>
          <w:szCs w:val="24"/>
        </w:rPr>
        <w:t>, which, b</w:t>
      </w:r>
      <w:r w:rsidRPr="00C74A1C">
        <w:rPr>
          <w:sz w:val="24"/>
          <w:szCs w:val="24"/>
        </w:rPr>
        <w:t xml:space="preserve">roadly speaking, distinguishes between </w:t>
      </w:r>
      <w:r>
        <w:rPr>
          <w:sz w:val="24"/>
          <w:szCs w:val="24"/>
        </w:rPr>
        <w:t>correlation network</w:t>
      </w:r>
      <w:r w:rsidRPr="00C74A1C">
        <w:rPr>
          <w:sz w:val="24"/>
          <w:szCs w:val="24"/>
        </w:rPr>
        <w:t xml:space="preserve">s, where edges are based on </w:t>
      </w:r>
      <w:r w:rsidR="00535415">
        <w:rPr>
          <w:sz w:val="24"/>
          <w:szCs w:val="24"/>
        </w:rPr>
        <w:t xml:space="preserve">indirect links like </w:t>
      </w:r>
      <w:r w:rsidRPr="00C74A1C">
        <w:rPr>
          <w:sz w:val="24"/>
          <w:szCs w:val="24"/>
        </w:rPr>
        <w:t>return correlations (</w:t>
      </w:r>
      <w:r>
        <w:rPr>
          <w:sz w:val="24"/>
          <w:szCs w:val="24"/>
        </w:rPr>
        <w:t xml:space="preserve">e.g. Diebold and Yilmaz (2014), </w:t>
      </w:r>
      <w:r w:rsidRPr="00C74A1C">
        <w:rPr>
          <w:sz w:val="24"/>
          <w:szCs w:val="24"/>
        </w:rPr>
        <w:t xml:space="preserve">Billio et al. (2012)), and </w:t>
      </w:r>
      <w:r w:rsidR="0050711A">
        <w:rPr>
          <w:sz w:val="24"/>
          <w:szCs w:val="24"/>
        </w:rPr>
        <w:t>physical</w:t>
      </w:r>
      <w:r w:rsidR="00E70A83">
        <w:rPr>
          <w:sz w:val="24"/>
          <w:szCs w:val="24"/>
        </w:rPr>
        <w:t xml:space="preserve"> </w:t>
      </w:r>
      <w:r>
        <w:rPr>
          <w:sz w:val="24"/>
          <w:szCs w:val="24"/>
        </w:rPr>
        <w:t>network</w:t>
      </w:r>
      <w:r w:rsidRPr="00C74A1C">
        <w:rPr>
          <w:sz w:val="24"/>
          <w:szCs w:val="24"/>
        </w:rPr>
        <w:t xml:space="preserve">s, where </w:t>
      </w:r>
      <w:r w:rsidR="00535415">
        <w:rPr>
          <w:sz w:val="24"/>
          <w:szCs w:val="24"/>
        </w:rPr>
        <w:t>direct links</w:t>
      </w:r>
      <w:r w:rsidR="00535415" w:rsidRPr="00C74A1C">
        <w:rPr>
          <w:sz w:val="24"/>
          <w:szCs w:val="24"/>
        </w:rPr>
        <w:t xml:space="preserve"> </w:t>
      </w:r>
      <w:r w:rsidRPr="00C74A1C">
        <w:rPr>
          <w:sz w:val="24"/>
          <w:szCs w:val="24"/>
        </w:rPr>
        <w:t xml:space="preserve">result from agent choices (e.g., banks A and B contract to exchange overnight funds as in Cont, Moussa and Santos (2012)). </w:t>
      </w:r>
      <w:r>
        <w:rPr>
          <w:sz w:val="24"/>
          <w:szCs w:val="24"/>
        </w:rPr>
        <w:t xml:space="preserve">We develop an accounting framework that helps </w:t>
      </w:r>
      <w:r w:rsidR="00E70A83">
        <w:rPr>
          <w:sz w:val="24"/>
          <w:szCs w:val="24"/>
        </w:rPr>
        <w:t xml:space="preserve">to illuminate </w:t>
      </w:r>
      <w:r>
        <w:rPr>
          <w:sz w:val="24"/>
          <w:szCs w:val="24"/>
        </w:rPr>
        <w:t xml:space="preserve">the different nature of the two network structures. </w:t>
      </w:r>
      <w:r w:rsidRPr="00C74A1C">
        <w:rPr>
          <w:sz w:val="24"/>
          <w:szCs w:val="24"/>
        </w:rPr>
        <w:t>We</w:t>
      </w:r>
      <w:r w:rsidR="00E70A83">
        <w:rPr>
          <w:sz w:val="24"/>
          <w:szCs w:val="24"/>
        </w:rPr>
        <w:t xml:space="preserve"> </w:t>
      </w:r>
      <w:r>
        <w:rPr>
          <w:sz w:val="24"/>
          <w:szCs w:val="24"/>
        </w:rPr>
        <w:t>then</w:t>
      </w:r>
      <w:r w:rsidR="00E70A83">
        <w:rPr>
          <w:sz w:val="24"/>
          <w:szCs w:val="24"/>
        </w:rPr>
        <w:t xml:space="preserve"> </w:t>
      </w:r>
      <w:r w:rsidRPr="00C74A1C">
        <w:rPr>
          <w:sz w:val="24"/>
          <w:szCs w:val="24"/>
        </w:rPr>
        <w:t xml:space="preserve">utilize the direct nature of trade in </w:t>
      </w:r>
      <w:r w:rsidRPr="00C74A1C">
        <w:rPr>
          <w:sz w:val="24"/>
          <w:szCs w:val="24"/>
        </w:rPr>
        <w:lastRenderedPageBreak/>
        <w:t xml:space="preserve">our data to compare and contrast </w:t>
      </w:r>
      <w:r>
        <w:rPr>
          <w:sz w:val="24"/>
          <w:szCs w:val="24"/>
        </w:rPr>
        <w:t>correlation network</w:t>
      </w:r>
      <w:r w:rsidRPr="00C74A1C">
        <w:rPr>
          <w:sz w:val="24"/>
          <w:szCs w:val="24"/>
        </w:rPr>
        <w:t xml:space="preserve">s with </w:t>
      </w:r>
      <w:r w:rsidR="0050711A">
        <w:rPr>
          <w:sz w:val="24"/>
          <w:szCs w:val="24"/>
        </w:rPr>
        <w:t>physical</w:t>
      </w:r>
      <w:r w:rsidR="000E7A78">
        <w:rPr>
          <w:sz w:val="24"/>
          <w:szCs w:val="24"/>
        </w:rPr>
        <w:t xml:space="preserve"> </w:t>
      </w:r>
      <w:r>
        <w:rPr>
          <w:sz w:val="24"/>
          <w:szCs w:val="24"/>
        </w:rPr>
        <w:t>network</w:t>
      </w:r>
      <w:r w:rsidRPr="00C74A1C">
        <w:rPr>
          <w:sz w:val="24"/>
          <w:szCs w:val="24"/>
        </w:rPr>
        <w:t>s in our empirical work.</w:t>
      </w:r>
    </w:p>
    <w:p w14:paraId="0128B11B" w14:textId="3D81FD3D" w:rsidR="001C78BE" w:rsidRDefault="00594607" w:rsidP="001A6807">
      <w:pPr>
        <w:spacing w:line="480" w:lineRule="auto"/>
        <w:ind w:firstLine="720"/>
        <w:jc w:val="both"/>
        <w:rPr>
          <w:sz w:val="24"/>
          <w:szCs w:val="24"/>
        </w:rPr>
      </w:pPr>
      <w:r w:rsidRPr="00C74A1C">
        <w:rPr>
          <w:sz w:val="24"/>
          <w:szCs w:val="24"/>
        </w:rPr>
        <w:t xml:space="preserve">The paper proceeds as follows. In Section 2 </w:t>
      </w:r>
      <w:r w:rsidR="00B12628">
        <w:rPr>
          <w:sz w:val="24"/>
          <w:szCs w:val="24"/>
        </w:rPr>
        <w:t>we provide a review of the main literature. In section 3 we provide an accounting framework which helps understanding the two different network formations. Section 4</w:t>
      </w:r>
      <w:r w:rsidRPr="00C74A1C">
        <w:rPr>
          <w:sz w:val="24"/>
          <w:szCs w:val="24"/>
        </w:rPr>
        <w:t xml:space="preserve"> </w:t>
      </w:r>
      <w:r w:rsidR="005D3B7D">
        <w:rPr>
          <w:sz w:val="24"/>
          <w:szCs w:val="24"/>
        </w:rPr>
        <w:t>describe</w:t>
      </w:r>
      <w:r w:rsidR="00B12628">
        <w:rPr>
          <w:sz w:val="24"/>
          <w:szCs w:val="24"/>
        </w:rPr>
        <w:t>s</w:t>
      </w:r>
      <w:r w:rsidR="005D3B7D">
        <w:rPr>
          <w:sz w:val="24"/>
          <w:szCs w:val="24"/>
        </w:rPr>
        <w:t xml:space="preserve"> </w:t>
      </w:r>
      <w:r w:rsidR="004E3999">
        <w:rPr>
          <w:sz w:val="24"/>
          <w:szCs w:val="24"/>
        </w:rPr>
        <w:t>our data</w:t>
      </w:r>
      <w:r w:rsidR="00985BF5">
        <w:rPr>
          <w:sz w:val="24"/>
          <w:szCs w:val="24"/>
        </w:rPr>
        <w:t xml:space="preserve"> while Section 5 describes the interconnectedness metrics from </w:t>
      </w:r>
      <w:r w:rsidR="005D3B7D">
        <w:rPr>
          <w:sz w:val="24"/>
          <w:szCs w:val="24"/>
        </w:rPr>
        <w:t xml:space="preserve">the </w:t>
      </w:r>
      <w:r w:rsidR="00777A0D">
        <w:rPr>
          <w:sz w:val="24"/>
          <w:szCs w:val="24"/>
        </w:rPr>
        <w:t>correlation</w:t>
      </w:r>
      <w:r w:rsidR="005D3B7D">
        <w:rPr>
          <w:sz w:val="24"/>
          <w:szCs w:val="24"/>
        </w:rPr>
        <w:t xml:space="preserve"> and </w:t>
      </w:r>
      <w:r w:rsidR="0050711A">
        <w:rPr>
          <w:sz w:val="24"/>
          <w:szCs w:val="24"/>
        </w:rPr>
        <w:t xml:space="preserve">physical </w:t>
      </w:r>
      <w:r w:rsidR="0017702E">
        <w:rPr>
          <w:sz w:val="24"/>
          <w:szCs w:val="24"/>
        </w:rPr>
        <w:t>network</w:t>
      </w:r>
      <w:r w:rsidR="005D3B7D">
        <w:rPr>
          <w:sz w:val="24"/>
          <w:szCs w:val="24"/>
        </w:rPr>
        <w:t>s</w:t>
      </w:r>
      <w:r w:rsidR="004E3999">
        <w:rPr>
          <w:sz w:val="24"/>
          <w:szCs w:val="24"/>
        </w:rPr>
        <w:t xml:space="preserve"> we construct</w:t>
      </w:r>
      <w:r w:rsidR="005D3B7D">
        <w:rPr>
          <w:sz w:val="24"/>
          <w:szCs w:val="24"/>
        </w:rPr>
        <w:t xml:space="preserve">. In </w:t>
      </w:r>
      <w:r w:rsidR="004E3999">
        <w:rPr>
          <w:sz w:val="24"/>
          <w:szCs w:val="24"/>
        </w:rPr>
        <w:t>S</w:t>
      </w:r>
      <w:r w:rsidR="005D3B7D">
        <w:rPr>
          <w:sz w:val="24"/>
          <w:szCs w:val="24"/>
        </w:rPr>
        <w:t>ec</w:t>
      </w:r>
      <w:r w:rsidRPr="00C74A1C">
        <w:rPr>
          <w:sz w:val="24"/>
          <w:szCs w:val="24"/>
        </w:rPr>
        <w:t xml:space="preserve">tion </w:t>
      </w:r>
      <w:r w:rsidR="00985BF5">
        <w:rPr>
          <w:sz w:val="24"/>
          <w:szCs w:val="24"/>
        </w:rPr>
        <w:t>6</w:t>
      </w:r>
      <w:r w:rsidRPr="00C74A1C">
        <w:rPr>
          <w:sz w:val="24"/>
          <w:szCs w:val="24"/>
        </w:rPr>
        <w:t xml:space="preserve">, we </w:t>
      </w:r>
      <w:r w:rsidR="004F163C" w:rsidRPr="00C74A1C">
        <w:rPr>
          <w:sz w:val="24"/>
          <w:szCs w:val="24"/>
        </w:rPr>
        <w:t>study how central bank announcements</w:t>
      </w:r>
      <w:r w:rsidR="00C62F74">
        <w:rPr>
          <w:sz w:val="24"/>
          <w:szCs w:val="24"/>
        </w:rPr>
        <w:t xml:space="preserve"> and interventions</w:t>
      </w:r>
      <w:r w:rsidR="00EE3510">
        <w:rPr>
          <w:sz w:val="24"/>
          <w:szCs w:val="24"/>
        </w:rPr>
        <w:t>,</w:t>
      </w:r>
      <w:r w:rsidR="004F163C" w:rsidRPr="00C74A1C">
        <w:rPr>
          <w:sz w:val="24"/>
          <w:szCs w:val="24"/>
        </w:rPr>
        <w:t xml:space="preserve"> and traditional financial variables</w:t>
      </w:r>
      <w:r w:rsidR="00322285">
        <w:rPr>
          <w:sz w:val="24"/>
          <w:szCs w:val="24"/>
        </w:rPr>
        <w:t xml:space="preserve"> </w:t>
      </w:r>
      <w:r w:rsidR="00322285" w:rsidRPr="00C74A1C">
        <w:rPr>
          <w:sz w:val="24"/>
          <w:szCs w:val="24"/>
        </w:rPr>
        <w:t>affect network topology</w:t>
      </w:r>
      <w:r w:rsidR="00003929">
        <w:rPr>
          <w:sz w:val="24"/>
          <w:szCs w:val="24"/>
        </w:rPr>
        <w:t xml:space="preserve"> in a forecasting exercise</w:t>
      </w:r>
      <w:r w:rsidR="004F163C" w:rsidRPr="00C74A1C">
        <w:rPr>
          <w:sz w:val="24"/>
          <w:szCs w:val="24"/>
        </w:rPr>
        <w:t>.</w:t>
      </w:r>
      <w:r w:rsidRPr="00C74A1C">
        <w:rPr>
          <w:sz w:val="24"/>
          <w:szCs w:val="24"/>
        </w:rPr>
        <w:t xml:space="preserve"> We conclude with a brief discussion in </w:t>
      </w:r>
      <w:r w:rsidR="004F163C" w:rsidRPr="00C74A1C">
        <w:rPr>
          <w:sz w:val="24"/>
          <w:szCs w:val="24"/>
        </w:rPr>
        <w:t>s</w:t>
      </w:r>
      <w:r w:rsidRPr="00C74A1C">
        <w:rPr>
          <w:sz w:val="24"/>
          <w:szCs w:val="24"/>
        </w:rPr>
        <w:t xml:space="preserve">ection </w:t>
      </w:r>
      <w:r w:rsidR="00003929">
        <w:rPr>
          <w:sz w:val="24"/>
          <w:szCs w:val="24"/>
        </w:rPr>
        <w:t>7</w:t>
      </w:r>
      <w:r w:rsidRPr="00C74A1C">
        <w:rPr>
          <w:sz w:val="24"/>
          <w:szCs w:val="24"/>
        </w:rPr>
        <w:t>.</w:t>
      </w:r>
    </w:p>
    <w:p w14:paraId="111F146B" w14:textId="77777777" w:rsidR="0069181D" w:rsidRPr="00C74A1C" w:rsidRDefault="0069181D" w:rsidP="00666397">
      <w:pPr>
        <w:spacing w:line="480" w:lineRule="auto"/>
        <w:ind w:firstLine="720"/>
        <w:rPr>
          <w:sz w:val="24"/>
          <w:szCs w:val="24"/>
        </w:rPr>
      </w:pPr>
    </w:p>
    <w:p w14:paraId="705F0028" w14:textId="5D0C31E6" w:rsidR="0069181D" w:rsidRPr="0069181D" w:rsidRDefault="00DF40DD" w:rsidP="00DF40DD">
      <w:pPr>
        <w:pStyle w:val="ListParagraph"/>
        <w:spacing w:line="360" w:lineRule="auto"/>
        <w:ind w:left="0"/>
        <w:rPr>
          <w:b/>
          <w:sz w:val="28"/>
          <w:szCs w:val="28"/>
        </w:rPr>
      </w:pPr>
      <w:r>
        <w:rPr>
          <w:b/>
          <w:sz w:val="28"/>
          <w:szCs w:val="28"/>
        </w:rPr>
        <w:t xml:space="preserve">2. </w:t>
      </w:r>
      <w:r w:rsidR="003C3614">
        <w:rPr>
          <w:b/>
          <w:sz w:val="28"/>
          <w:szCs w:val="28"/>
        </w:rPr>
        <w:t>Network Interconnectedness</w:t>
      </w:r>
      <w:r w:rsidR="00985BF5">
        <w:rPr>
          <w:b/>
          <w:sz w:val="28"/>
          <w:szCs w:val="28"/>
        </w:rPr>
        <w:t xml:space="preserve"> Literature</w:t>
      </w:r>
    </w:p>
    <w:p w14:paraId="079603D5" w14:textId="2256FF8A" w:rsidR="00B12628" w:rsidRPr="0069181D" w:rsidRDefault="002023F1" w:rsidP="001A6807">
      <w:pPr>
        <w:pStyle w:val="ListParagraph"/>
        <w:spacing w:line="480" w:lineRule="auto"/>
        <w:ind w:left="0" w:firstLine="720"/>
        <w:jc w:val="both"/>
        <w:rPr>
          <w:sz w:val="24"/>
          <w:szCs w:val="24"/>
        </w:rPr>
      </w:pPr>
      <w:r w:rsidRPr="0069181D">
        <w:rPr>
          <w:sz w:val="24"/>
          <w:szCs w:val="24"/>
        </w:rPr>
        <w:t>A</w:t>
      </w:r>
      <w:r>
        <w:rPr>
          <w:sz w:val="24"/>
          <w:szCs w:val="24"/>
        </w:rPr>
        <w:t xml:space="preserve"> number of research </w:t>
      </w:r>
      <w:r w:rsidRPr="0069181D">
        <w:rPr>
          <w:sz w:val="24"/>
          <w:szCs w:val="24"/>
        </w:rPr>
        <w:t xml:space="preserve">papers highlight how common holdings </w:t>
      </w:r>
      <w:r>
        <w:rPr>
          <w:sz w:val="24"/>
          <w:szCs w:val="24"/>
        </w:rPr>
        <w:t>can drive</w:t>
      </w:r>
      <w:r w:rsidRPr="0069181D">
        <w:rPr>
          <w:sz w:val="24"/>
          <w:szCs w:val="24"/>
        </w:rPr>
        <w:t xml:space="preserve"> interconnectedness </w:t>
      </w:r>
      <w:r>
        <w:rPr>
          <w:sz w:val="24"/>
          <w:szCs w:val="24"/>
        </w:rPr>
        <w:t>within correlation networks.</w:t>
      </w:r>
      <w:r w:rsidRPr="0069181D">
        <w:rPr>
          <w:sz w:val="24"/>
          <w:szCs w:val="24"/>
        </w:rPr>
        <w:t xml:space="preserve"> </w:t>
      </w:r>
      <w:r w:rsidR="00B12628" w:rsidRPr="0069181D">
        <w:rPr>
          <w:sz w:val="24"/>
          <w:szCs w:val="24"/>
        </w:rPr>
        <w:t>M</w:t>
      </w:r>
      <w:r w:rsidR="005A5507">
        <w:rPr>
          <w:sz w:val="24"/>
          <w:szCs w:val="24"/>
        </w:rPr>
        <w:t>uch</w:t>
      </w:r>
      <w:r w:rsidR="00B12628" w:rsidRPr="0069181D">
        <w:rPr>
          <w:sz w:val="24"/>
          <w:szCs w:val="24"/>
        </w:rPr>
        <w:t xml:space="preserve"> of the literature on networks in finance concentrates on how network structure</w:t>
      </w:r>
      <w:r w:rsidR="005A5507">
        <w:rPr>
          <w:sz w:val="24"/>
          <w:szCs w:val="24"/>
        </w:rPr>
        <w:t>s</w:t>
      </w:r>
      <w:r w:rsidR="00B12628" w:rsidRPr="0069181D">
        <w:rPr>
          <w:sz w:val="24"/>
          <w:szCs w:val="24"/>
        </w:rPr>
        <w:t xml:space="preserve"> </w:t>
      </w:r>
      <w:r w:rsidR="005A5507">
        <w:rPr>
          <w:sz w:val="24"/>
          <w:szCs w:val="24"/>
        </w:rPr>
        <w:t>are</w:t>
      </w:r>
      <w:r w:rsidR="00B12628" w:rsidRPr="0069181D">
        <w:rPr>
          <w:sz w:val="24"/>
          <w:szCs w:val="24"/>
        </w:rPr>
        <w:t xml:space="preserve"> important for the propagation of shocks. Allen and Gale</w:t>
      </w:r>
      <w:r w:rsidR="00E70A83">
        <w:rPr>
          <w:sz w:val="24"/>
          <w:szCs w:val="24"/>
        </w:rPr>
        <w:t>’s</w:t>
      </w:r>
      <w:r w:rsidR="00B12628" w:rsidRPr="0069181D">
        <w:rPr>
          <w:sz w:val="24"/>
          <w:szCs w:val="24"/>
        </w:rPr>
        <w:t xml:space="preserve"> (2000)</w:t>
      </w:r>
      <w:r w:rsidR="00E70A83">
        <w:rPr>
          <w:sz w:val="24"/>
          <w:szCs w:val="24"/>
        </w:rPr>
        <w:t xml:space="preserve"> seminal paper</w:t>
      </w:r>
      <w:r w:rsidR="00B12628" w:rsidRPr="0069181D">
        <w:rPr>
          <w:sz w:val="24"/>
          <w:szCs w:val="24"/>
        </w:rPr>
        <w:t xml:space="preserve"> shows </w:t>
      </w:r>
      <w:r w:rsidR="005A5507">
        <w:rPr>
          <w:sz w:val="24"/>
          <w:szCs w:val="24"/>
        </w:rPr>
        <w:t>that</w:t>
      </w:r>
      <w:r w:rsidR="00B12628" w:rsidRPr="0069181D">
        <w:rPr>
          <w:sz w:val="24"/>
          <w:szCs w:val="24"/>
        </w:rPr>
        <w:t xml:space="preserve"> the network structure may exacerbate or attenuate contagion effects.</w:t>
      </w:r>
      <w:r w:rsidR="00F970C4">
        <w:rPr>
          <w:rStyle w:val="FootnoteReference"/>
          <w:sz w:val="24"/>
          <w:szCs w:val="24"/>
        </w:rPr>
        <w:footnoteReference w:id="4"/>
      </w:r>
      <w:r w:rsidR="00B12628" w:rsidRPr="0069181D">
        <w:rPr>
          <w:sz w:val="24"/>
          <w:szCs w:val="24"/>
        </w:rPr>
        <w:t xml:space="preserve"> In this literature linkages (interconnectedness) between financial institutions may occur either as a result of common holdings or as a result of direct contractual agreements. </w:t>
      </w:r>
    </w:p>
    <w:p w14:paraId="211DBB40" w14:textId="3E8A3186" w:rsidR="005A5507" w:rsidRDefault="00B12628" w:rsidP="001A6807">
      <w:pPr>
        <w:pStyle w:val="ListParagraph"/>
        <w:spacing w:line="480" w:lineRule="auto"/>
        <w:ind w:left="0" w:firstLine="720"/>
        <w:jc w:val="both"/>
        <w:rPr>
          <w:sz w:val="24"/>
          <w:szCs w:val="24"/>
        </w:rPr>
      </w:pPr>
      <w:r w:rsidRPr="0069181D">
        <w:rPr>
          <w:sz w:val="24"/>
          <w:szCs w:val="24"/>
        </w:rPr>
        <w:t>Braverman and Minca (2014)</w:t>
      </w:r>
      <w:r w:rsidR="005A5507">
        <w:rPr>
          <w:sz w:val="24"/>
          <w:szCs w:val="24"/>
        </w:rPr>
        <w:t xml:space="preserve"> describe how common asset holdings among banks can transmit financial distress. I</w:t>
      </w:r>
      <w:r w:rsidRPr="0069181D">
        <w:rPr>
          <w:sz w:val="24"/>
          <w:szCs w:val="24"/>
        </w:rPr>
        <w:t>f two banks, A and B, hold the same asset in their portfolios and a</w:t>
      </w:r>
      <w:r w:rsidR="005A5507">
        <w:rPr>
          <w:sz w:val="24"/>
          <w:szCs w:val="24"/>
        </w:rPr>
        <w:t>n exogenous</w:t>
      </w:r>
      <w:r w:rsidRPr="0069181D">
        <w:rPr>
          <w:sz w:val="24"/>
          <w:szCs w:val="24"/>
        </w:rPr>
        <w:t xml:space="preserve"> shock forces A to liquidate the asset,</w:t>
      </w:r>
      <w:r w:rsidR="00E70A83">
        <w:rPr>
          <w:sz w:val="24"/>
          <w:szCs w:val="24"/>
        </w:rPr>
        <w:t xml:space="preserve"> </w:t>
      </w:r>
      <w:r w:rsidRPr="0069181D">
        <w:rPr>
          <w:sz w:val="24"/>
          <w:szCs w:val="24"/>
        </w:rPr>
        <w:t xml:space="preserve">the price of </w:t>
      </w:r>
      <w:r w:rsidRPr="0069181D">
        <w:rPr>
          <w:sz w:val="24"/>
          <w:szCs w:val="24"/>
        </w:rPr>
        <w:lastRenderedPageBreak/>
        <w:t>the asset will decline and</w:t>
      </w:r>
      <w:r w:rsidR="005A5507">
        <w:rPr>
          <w:sz w:val="24"/>
          <w:szCs w:val="24"/>
        </w:rPr>
        <w:t xml:space="preserve"> therefore change </w:t>
      </w:r>
      <w:r w:rsidRPr="0069181D">
        <w:rPr>
          <w:sz w:val="24"/>
          <w:szCs w:val="24"/>
        </w:rPr>
        <w:t xml:space="preserve">the value of B’s portfolio. </w:t>
      </w:r>
      <w:r w:rsidR="005A5507">
        <w:rPr>
          <w:sz w:val="24"/>
          <w:szCs w:val="24"/>
        </w:rPr>
        <w:t>In this way, c</w:t>
      </w:r>
      <w:r w:rsidRPr="0069181D">
        <w:rPr>
          <w:sz w:val="24"/>
          <w:szCs w:val="24"/>
        </w:rPr>
        <w:t>ommon asset holding</w:t>
      </w:r>
      <w:r w:rsidR="005A5507">
        <w:rPr>
          <w:sz w:val="24"/>
          <w:szCs w:val="24"/>
        </w:rPr>
        <w:t>s</w:t>
      </w:r>
      <w:r w:rsidRPr="0069181D">
        <w:rPr>
          <w:sz w:val="24"/>
          <w:szCs w:val="24"/>
        </w:rPr>
        <w:t xml:space="preserve"> generate network</w:t>
      </w:r>
      <w:r w:rsidR="005A5507">
        <w:rPr>
          <w:sz w:val="24"/>
          <w:szCs w:val="24"/>
        </w:rPr>
        <w:t>s</w:t>
      </w:r>
      <w:r w:rsidRPr="0069181D">
        <w:rPr>
          <w:sz w:val="24"/>
          <w:szCs w:val="24"/>
        </w:rPr>
        <w:t xml:space="preserve"> that transmit </w:t>
      </w:r>
      <w:r w:rsidR="005A5507">
        <w:rPr>
          <w:sz w:val="24"/>
          <w:szCs w:val="24"/>
        </w:rPr>
        <w:t>shocks between (and among) banks</w:t>
      </w:r>
      <w:r w:rsidRPr="0069181D">
        <w:rPr>
          <w:sz w:val="24"/>
          <w:szCs w:val="24"/>
        </w:rPr>
        <w:t xml:space="preserve">. </w:t>
      </w:r>
      <w:r w:rsidR="005A5507">
        <w:rPr>
          <w:sz w:val="24"/>
          <w:szCs w:val="24"/>
        </w:rPr>
        <w:t>While l</w:t>
      </w:r>
      <w:r w:rsidRPr="0069181D">
        <w:rPr>
          <w:sz w:val="24"/>
          <w:szCs w:val="24"/>
        </w:rPr>
        <w:t xml:space="preserve">inks in the network of common asset holdings are not readily specified in </w:t>
      </w:r>
      <w:r w:rsidR="005A5507">
        <w:rPr>
          <w:sz w:val="24"/>
          <w:szCs w:val="24"/>
        </w:rPr>
        <w:t xml:space="preserve">bank </w:t>
      </w:r>
      <w:r w:rsidRPr="0069181D">
        <w:rPr>
          <w:sz w:val="24"/>
          <w:szCs w:val="24"/>
        </w:rPr>
        <w:t>balance sheet</w:t>
      </w:r>
      <w:r w:rsidR="005A5507">
        <w:rPr>
          <w:sz w:val="24"/>
          <w:szCs w:val="24"/>
        </w:rPr>
        <w:t xml:space="preserve">s, they may </w:t>
      </w:r>
      <w:r w:rsidRPr="0069181D">
        <w:rPr>
          <w:sz w:val="24"/>
          <w:szCs w:val="24"/>
        </w:rPr>
        <w:t xml:space="preserve">be </w:t>
      </w:r>
      <w:r w:rsidR="008605BA">
        <w:rPr>
          <w:sz w:val="24"/>
          <w:szCs w:val="24"/>
        </w:rPr>
        <w:t xml:space="preserve">estimated by stock market </w:t>
      </w:r>
      <w:r w:rsidR="001A6807">
        <w:rPr>
          <w:sz w:val="24"/>
          <w:szCs w:val="24"/>
        </w:rPr>
        <w:t>price linkages.</w:t>
      </w:r>
      <w:r w:rsidRPr="0069181D">
        <w:rPr>
          <w:sz w:val="24"/>
          <w:szCs w:val="24"/>
        </w:rPr>
        <w:t xml:space="preserve"> </w:t>
      </w:r>
    </w:p>
    <w:p w14:paraId="3E9DCCF4" w14:textId="68740EBB" w:rsidR="00B12628" w:rsidRPr="0069181D" w:rsidRDefault="008605BA" w:rsidP="00042BE9">
      <w:pPr>
        <w:pStyle w:val="ListParagraph"/>
        <w:spacing w:line="480" w:lineRule="auto"/>
        <w:ind w:left="0" w:firstLine="720"/>
        <w:jc w:val="both"/>
        <w:rPr>
          <w:sz w:val="24"/>
          <w:szCs w:val="24"/>
        </w:rPr>
      </w:pPr>
      <w:r>
        <w:rPr>
          <w:sz w:val="24"/>
          <w:szCs w:val="24"/>
        </w:rPr>
        <w:t xml:space="preserve">In line with </w:t>
      </w:r>
      <w:r w:rsidR="00CE3A30">
        <w:rPr>
          <w:sz w:val="24"/>
          <w:szCs w:val="24"/>
        </w:rPr>
        <w:t xml:space="preserve">equity </w:t>
      </w:r>
      <w:r>
        <w:rPr>
          <w:sz w:val="24"/>
          <w:szCs w:val="24"/>
        </w:rPr>
        <w:t xml:space="preserve">market reactions, </w:t>
      </w:r>
      <w:r w:rsidR="00B12628" w:rsidRPr="0069181D">
        <w:rPr>
          <w:sz w:val="24"/>
          <w:szCs w:val="24"/>
        </w:rPr>
        <w:t xml:space="preserve">Braverman and Minca (2014) show that </w:t>
      </w:r>
      <w:r w:rsidR="005A5507">
        <w:rPr>
          <w:sz w:val="24"/>
          <w:szCs w:val="24"/>
        </w:rPr>
        <w:t xml:space="preserve">the severity of </w:t>
      </w:r>
      <w:r w:rsidR="00B12628" w:rsidRPr="0069181D">
        <w:rPr>
          <w:sz w:val="24"/>
          <w:szCs w:val="24"/>
        </w:rPr>
        <w:t xml:space="preserve">contagion depends on both common holdings and the liquidity of these common holdings. In their </w:t>
      </w:r>
      <w:r w:rsidR="003E12A2">
        <w:rPr>
          <w:sz w:val="24"/>
          <w:szCs w:val="24"/>
        </w:rPr>
        <w:t xml:space="preserve">network </w:t>
      </w:r>
      <w:r w:rsidR="00B12628" w:rsidRPr="0069181D">
        <w:rPr>
          <w:sz w:val="24"/>
          <w:szCs w:val="24"/>
        </w:rPr>
        <w:t>model, the higher the number of common assets in the portfolios the higher is the possibility of contagion</w:t>
      </w:r>
      <w:r w:rsidR="003E12A2">
        <w:rPr>
          <w:sz w:val="24"/>
          <w:szCs w:val="24"/>
        </w:rPr>
        <w:t xml:space="preserve"> (a</w:t>
      </w:r>
      <w:r w:rsidR="00B12628" w:rsidRPr="0069181D">
        <w:rPr>
          <w:sz w:val="24"/>
          <w:szCs w:val="24"/>
        </w:rPr>
        <w:t xml:space="preserve"> point first introduced by Shaffer (1994)</w:t>
      </w:r>
      <w:r w:rsidR="003E12A2">
        <w:rPr>
          <w:sz w:val="24"/>
          <w:szCs w:val="24"/>
        </w:rPr>
        <w:t>)</w:t>
      </w:r>
      <w:r w:rsidR="00B12628" w:rsidRPr="0069181D">
        <w:rPr>
          <w:sz w:val="24"/>
          <w:szCs w:val="24"/>
        </w:rPr>
        <w:t xml:space="preserve">. </w:t>
      </w:r>
      <w:r w:rsidR="003E12A2">
        <w:rPr>
          <w:sz w:val="24"/>
          <w:szCs w:val="24"/>
        </w:rPr>
        <w:t xml:space="preserve">In a similar vein, </w:t>
      </w:r>
      <w:r w:rsidR="00B12628" w:rsidRPr="0069181D">
        <w:rPr>
          <w:sz w:val="24"/>
          <w:szCs w:val="24"/>
        </w:rPr>
        <w:t xml:space="preserve">Lagunoff and Schreft (1998) develop a game-theoretic model which shows that as economies increase in size, diversification opportunities also increase </w:t>
      </w:r>
      <w:r w:rsidR="003E12A2">
        <w:rPr>
          <w:sz w:val="24"/>
          <w:szCs w:val="24"/>
        </w:rPr>
        <w:t>which</w:t>
      </w:r>
      <w:r w:rsidR="00B12628" w:rsidRPr="0069181D">
        <w:rPr>
          <w:sz w:val="24"/>
          <w:szCs w:val="24"/>
        </w:rPr>
        <w:t xml:space="preserve">, in turn, reduces </w:t>
      </w:r>
      <w:r w:rsidR="003E12A2">
        <w:rPr>
          <w:sz w:val="24"/>
          <w:szCs w:val="24"/>
        </w:rPr>
        <w:t xml:space="preserve">network </w:t>
      </w:r>
      <w:r w:rsidR="00B12628" w:rsidRPr="0069181D">
        <w:rPr>
          <w:sz w:val="24"/>
          <w:szCs w:val="24"/>
        </w:rPr>
        <w:t xml:space="preserve">fragility. However, if </w:t>
      </w:r>
      <w:r w:rsidR="003E12A2">
        <w:rPr>
          <w:sz w:val="24"/>
          <w:szCs w:val="24"/>
        </w:rPr>
        <w:t xml:space="preserve">the </w:t>
      </w:r>
      <w:r w:rsidR="00B12628" w:rsidRPr="0069181D">
        <w:rPr>
          <w:sz w:val="24"/>
          <w:szCs w:val="24"/>
        </w:rPr>
        <w:t xml:space="preserve">increase </w:t>
      </w:r>
      <w:r w:rsidR="003E12A2">
        <w:rPr>
          <w:sz w:val="24"/>
          <w:szCs w:val="24"/>
        </w:rPr>
        <w:t>exceeds</w:t>
      </w:r>
      <w:r w:rsidR="00B12628" w:rsidRPr="0069181D">
        <w:rPr>
          <w:sz w:val="24"/>
          <w:szCs w:val="24"/>
        </w:rPr>
        <w:t xml:space="preserve"> a given threshold, the high level of interconnectedness may increase financial fragility.</w:t>
      </w:r>
    </w:p>
    <w:p w14:paraId="46CC6F7A" w14:textId="70FFE905" w:rsidR="00B12628" w:rsidRPr="0069181D" w:rsidRDefault="007F49BF" w:rsidP="00042BE9">
      <w:pPr>
        <w:pStyle w:val="ListParagraph"/>
        <w:spacing w:line="480" w:lineRule="auto"/>
        <w:ind w:left="0" w:firstLine="720"/>
        <w:jc w:val="both"/>
        <w:rPr>
          <w:sz w:val="24"/>
          <w:szCs w:val="24"/>
        </w:rPr>
      </w:pPr>
      <w:r>
        <w:rPr>
          <w:sz w:val="24"/>
          <w:szCs w:val="24"/>
        </w:rPr>
        <w:t xml:space="preserve">Indeed, </w:t>
      </w:r>
      <w:r w:rsidR="00B12628" w:rsidRPr="0069181D">
        <w:rPr>
          <w:sz w:val="24"/>
          <w:szCs w:val="24"/>
        </w:rPr>
        <w:t>Cont and Wagalath (2011)</w:t>
      </w:r>
      <w:r>
        <w:rPr>
          <w:sz w:val="24"/>
          <w:szCs w:val="24"/>
        </w:rPr>
        <w:t xml:space="preserve"> </w:t>
      </w:r>
      <w:r w:rsidR="00B12628" w:rsidRPr="0069181D">
        <w:rPr>
          <w:sz w:val="24"/>
          <w:szCs w:val="24"/>
        </w:rPr>
        <w:t xml:space="preserve">show that realized correlations in equity indices increased dramatically with the collapse of Lehman Brothers </w:t>
      </w:r>
      <w:r w:rsidR="003E12A2">
        <w:rPr>
          <w:sz w:val="24"/>
          <w:szCs w:val="24"/>
        </w:rPr>
        <w:t xml:space="preserve">on </w:t>
      </w:r>
      <w:r w:rsidR="00B12628" w:rsidRPr="0069181D">
        <w:rPr>
          <w:sz w:val="24"/>
          <w:szCs w:val="24"/>
        </w:rPr>
        <w:t xml:space="preserve">September 15, 2008. They conjecture that </w:t>
      </w:r>
      <w:r w:rsidR="003E12A2">
        <w:rPr>
          <w:sz w:val="24"/>
          <w:szCs w:val="24"/>
        </w:rPr>
        <w:t xml:space="preserve">the </w:t>
      </w:r>
      <w:r w:rsidR="00B12628" w:rsidRPr="0069181D">
        <w:rPr>
          <w:sz w:val="24"/>
          <w:szCs w:val="24"/>
        </w:rPr>
        <w:t xml:space="preserve">increased correlation </w:t>
      </w:r>
      <w:r w:rsidR="003E12A2">
        <w:rPr>
          <w:sz w:val="24"/>
          <w:szCs w:val="24"/>
        </w:rPr>
        <w:t xml:space="preserve">resulted from the </w:t>
      </w:r>
      <w:r w:rsidR="00B12628" w:rsidRPr="0069181D">
        <w:rPr>
          <w:sz w:val="24"/>
          <w:szCs w:val="24"/>
        </w:rPr>
        <w:t xml:space="preserve">liquidation of large positions by market participants (fire sales) and develop a model in which returns are driven by </w:t>
      </w:r>
      <w:r w:rsidR="003E12A2">
        <w:rPr>
          <w:sz w:val="24"/>
          <w:szCs w:val="24"/>
        </w:rPr>
        <w:t xml:space="preserve">both </w:t>
      </w:r>
      <w:r w:rsidR="00B12628" w:rsidRPr="0069181D">
        <w:rPr>
          <w:sz w:val="24"/>
          <w:szCs w:val="24"/>
        </w:rPr>
        <w:t xml:space="preserve">fundamentals and liquidity. </w:t>
      </w:r>
      <w:r w:rsidR="003E12A2">
        <w:rPr>
          <w:sz w:val="24"/>
          <w:szCs w:val="24"/>
        </w:rPr>
        <w:t>T</w:t>
      </w:r>
      <w:r w:rsidR="00B12628" w:rsidRPr="0069181D">
        <w:rPr>
          <w:sz w:val="24"/>
          <w:szCs w:val="24"/>
        </w:rPr>
        <w:t xml:space="preserve">hey </w:t>
      </w:r>
      <w:r w:rsidR="003E12A2">
        <w:rPr>
          <w:sz w:val="24"/>
          <w:szCs w:val="24"/>
        </w:rPr>
        <w:t>highlight</w:t>
      </w:r>
      <w:r w:rsidR="00B12628" w:rsidRPr="0069181D">
        <w:rPr>
          <w:sz w:val="24"/>
          <w:szCs w:val="24"/>
        </w:rPr>
        <w:t xml:space="preserve"> the limits of diversification</w:t>
      </w:r>
      <w:r w:rsidR="0068003F">
        <w:rPr>
          <w:rFonts w:eastAsiaTheme="minorEastAsia"/>
          <w:sz w:val="24"/>
          <w:szCs w:val="24"/>
        </w:rPr>
        <w:t>—</w:t>
      </w:r>
      <w:r w:rsidR="00B12628" w:rsidRPr="0069181D">
        <w:rPr>
          <w:sz w:val="24"/>
          <w:szCs w:val="24"/>
        </w:rPr>
        <w:t xml:space="preserve">even in the absence of correlation between fundamentals, </w:t>
      </w:r>
      <w:r w:rsidR="003E12A2">
        <w:rPr>
          <w:sz w:val="24"/>
          <w:szCs w:val="24"/>
        </w:rPr>
        <w:t xml:space="preserve">liquidity correlations among large assets can generate correlated </w:t>
      </w:r>
      <w:r w:rsidR="00B12628" w:rsidRPr="0069181D">
        <w:rPr>
          <w:sz w:val="24"/>
          <w:szCs w:val="24"/>
        </w:rPr>
        <w:t>asset returns</w:t>
      </w:r>
      <w:r w:rsidR="003E12A2">
        <w:rPr>
          <w:sz w:val="24"/>
          <w:szCs w:val="24"/>
        </w:rPr>
        <w:t xml:space="preserve">, </w:t>
      </w:r>
      <w:r w:rsidR="00B12628" w:rsidRPr="0069181D">
        <w:rPr>
          <w:sz w:val="24"/>
          <w:szCs w:val="24"/>
        </w:rPr>
        <w:t>“thus losing the benefit of diversification exactly when it is needed.” (p.4)</w:t>
      </w:r>
      <w:r w:rsidR="009014E9">
        <w:rPr>
          <w:sz w:val="24"/>
          <w:szCs w:val="24"/>
        </w:rPr>
        <w:t>.</w:t>
      </w:r>
    </w:p>
    <w:p w14:paraId="2BDD760F" w14:textId="340B6A19" w:rsidR="00B12628" w:rsidRPr="0069181D" w:rsidRDefault="00B12628" w:rsidP="00042BE9">
      <w:pPr>
        <w:pStyle w:val="ListParagraph"/>
        <w:spacing w:line="480" w:lineRule="auto"/>
        <w:ind w:left="0" w:firstLine="720"/>
        <w:jc w:val="both"/>
        <w:rPr>
          <w:sz w:val="24"/>
          <w:szCs w:val="24"/>
        </w:rPr>
      </w:pPr>
      <w:r w:rsidRPr="0069181D">
        <w:rPr>
          <w:sz w:val="24"/>
          <w:szCs w:val="24"/>
        </w:rPr>
        <w:lastRenderedPageBreak/>
        <w:t>Cabrales and Gottardi (2014) model contagion as the transmission of a pathologic disease</w:t>
      </w:r>
      <w:r w:rsidR="008605BA">
        <w:rPr>
          <w:sz w:val="24"/>
          <w:szCs w:val="24"/>
        </w:rPr>
        <w:t>, linking f</w:t>
      </w:r>
      <w:r w:rsidRPr="0069181D">
        <w:rPr>
          <w:sz w:val="24"/>
          <w:szCs w:val="24"/>
        </w:rPr>
        <w:t xml:space="preserve">irms </w:t>
      </w:r>
      <w:r w:rsidR="008605BA">
        <w:rPr>
          <w:sz w:val="24"/>
          <w:szCs w:val="24"/>
        </w:rPr>
        <w:t>as</w:t>
      </w:r>
      <w:r w:rsidRPr="0069181D">
        <w:rPr>
          <w:sz w:val="24"/>
          <w:szCs w:val="24"/>
        </w:rPr>
        <w:t xml:space="preserve"> they exchange </w:t>
      </w:r>
      <w:r w:rsidR="002B5BF6" w:rsidRPr="0069181D">
        <w:rPr>
          <w:sz w:val="24"/>
          <w:szCs w:val="24"/>
        </w:rPr>
        <w:t>assets</w:t>
      </w:r>
      <w:r w:rsidR="002B5BF6">
        <w:rPr>
          <w:sz w:val="24"/>
          <w:szCs w:val="24"/>
        </w:rPr>
        <w:t xml:space="preserve"> to meet capital requirements</w:t>
      </w:r>
      <w:r w:rsidR="008605BA">
        <w:rPr>
          <w:sz w:val="24"/>
          <w:szCs w:val="24"/>
        </w:rPr>
        <w:t xml:space="preserve">. </w:t>
      </w:r>
      <w:r w:rsidR="007F49BF">
        <w:rPr>
          <w:sz w:val="24"/>
          <w:szCs w:val="24"/>
        </w:rPr>
        <w:t>T</w:t>
      </w:r>
      <w:r w:rsidR="008605BA">
        <w:rPr>
          <w:sz w:val="24"/>
          <w:szCs w:val="24"/>
        </w:rPr>
        <w:t xml:space="preserve">hey </w:t>
      </w:r>
      <w:r w:rsidR="002B5BF6">
        <w:rPr>
          <w:sz w:val="24"/>
          <w:szCs w:val="24"/>
        </w:rPr>
        <w:t>not</w:t>
      </w:r>
      <w:r w:rsidR="008605BA">
        <w:rPr>
          <w:sz w:val="24"/>
          <w:szCs w:val="24"/>
        </w:rPr>
        <w:t>e</w:t>
      </w:r>
      <w:r w:rsidR="002B5BF6">
        <w:rPr>
          <w:sz w:val="24"/>
          <w:szCs w:val="24"/>
        </w:rPr>
        <w:t xml:space="preserve"> that there is a</w:t>
      </w:r>
      <w:r w:rsidRPr="0069181D">
        <w:rPr>
          <w:sz w:val="24"/>
          <w:szCs w:val="24"/>
        </w:rPr>
        <w:t xml:space="preserve"> trade-off between risk-sharing and contagion </w:t>
      </w:r>
      <w:r w:rsidR="002B5BF6">
        <w:rPr>
          <w:sz w:val="24"/>
          <w:szCs w:val="24"/>
        </w:rPr>
        <w:t xml:space="preserve">among firms. Similarly, </w:t>
      </w:r>
      <w:r w:rsidRPr="0069181D">
        <w:rPr>
          <w:sz w:val="24"/>
          <w:szCs w:val="24"/>
        </w:rPr>
        <w:t>De Vries (2005) claims that banks, by holding similar portfolios, are exposed to the same market risks</w:t>
      </w:r>
      <w:r w:rsidR="008605BA">
        <w:rPr>
          <w:sz w:val="24"/>
          <w:szCs w:val="24"/>
        </w:rPr>
        <w:t xml:space="preserve"> so </w:t>
      </w:r>
      <w:r w:rsidRPr="0069181D">
        <w:rPr>
          <w:sz w:val="24"/>
          <w:szCs w:val="24"/>
        </w:rPr>
        <w:t xml:space="preserve">that </w:t>
      </w:r>
      <w:r w:rsidR="00F565FE">
        <w:rPr>
          <w:sz w:val="24"/>
          <w:szCs w:val="24"/>
        </w:rPr>
        <w:t xml:space="preserve">bank </w:t>
      </w:r>
      <w:r w:rsidRPr="0069181D">
        <w:rPr>
          <w:sz w:val="24"/>
          <w:szCs w:val="24"/>
        </w:rPr>
        <w:t xml:space="preserve">equity returns are asymptotically dependent. </w:t>
      </w:r>
      <w:r w:rsidR="002B5BF6">
        <w:rPr>
          <w:sz w:val="24"/>
          <w:szCs w:val="24"/>
        </w:rPr>
        <w:t>Likewise</w:t>
      </w:r>
      <w:r w:rsidRPr="0069181D">
        <w:rPr>
          <w:sz w:val="24"/>
          <w:szCs w:val="24"/>
        </w:rPr>
        <w:t>, Acharya and Yorulmazer (</w:t>
      </w:r>
      <w:r w:rsidR="003A5106" w:rsidRPr="0069181D">
        <w:rPr>
          <w:sz w:val="24"/>
          <w:szCs w:val="24"/>
        </w:rPr>
        <w:t>200</w:t>
      </w:r>
      <w:r w:rsidR="003A5106">
        <w:rPr>
          <w:sz w:val="24"/>
          <w:szCs w:val="24"/>
        </w:rPr>
        <w:t>8</w:t>
      </w:r>
      <w:r w:rsidRPr="0069181D">
        <w:rPr>
          <w:sz w:val="24"/>
          <w:szCs w:val="24"/>
        </w:rPr>
        <w:t>) show that if banks hold stakes in the same companies (</w:t>
      </w:r>
      <w:r w:rsidR="002023F1">
        <w:rPr>
          <w:sz w:val="24"/>
          <w:szCs w:val="24"/>
        </w:rPr>
        <w:t xml:space="preserve">e.g. </w:t>
      </w:r>
      <w:r w:rsidRPr="0069181D">
        <w:rPr>
          <w:sz w:val="24"/>
          <w:szCs w:val="24"/>
        </w:rPr>
        <w:t>for diversification purposes) bank equities are necessarily interdependent.</w:t>
      </w:r>
      <w:r w:rsidR="00045032">
        <w:rPr>
          <w:sz w:val="24"/>
          <w:szCs w:val="24"/>
        </w:rPr>
        <w:t xml:space="preserve"> </w:t>
      </w:r>
    </w:p>
    <w:p w14:paraId="2818C5C1" w14:textId="26DB95A0" w:rsidR="00B12628" w:rsidRPr="0069181D" w:rsidRDefault="002023F1" w:rsidP="007F49BF">
      <w:pPr>
        <w:pStyle w:val="ListParagraph"/>
        <w:spacing w:line="480" w:lineRule="auto"/>
        <w:ind w:left="0" w:firstLine="720"/>
        <w:jc w:val="both"/>
        <w:rPr>
          <w:sz w:val="24"/>
          <w:szCs w:val="24"/>
        </w:rPr>
      </w:pPr>
      <w:r>
        <w:rPr>
          <w:sz w:val="24"/>
          <w:szCs w:val="24"/>
        </w:rPr>
        <w:t xml:space="preserve">A second burgeoning literature </w:t>
      </w:r>
      <w:r w:rsidR="00B12628" w:rsidRPr="0069181D">
        <w:rPr>
          <w:sz w:val="24"/>
          <w:szCs w:val="24"/>
        </w:rPr>
        <w:t xml:space="preserve">on financial networks </w:t>
      </w:r>
      <w:r>
        <w:rPr>
          <w:sz w:val="24"/>
          <w:szCs w:val="24"/>
        </w:rPr>
        <w:t xml:space="preserve">examines </w:t>
      </w:r>
      <w:r w:rsidR="00B12628" w:rsidRPr="0069181D">
        <w:rPr>
          <w:sz w:val="24"/>
          <w:szCs w:val="24"/>
        </w:rPr>
        <w:t>contractual agreements</w:t>
      </w:r>
      <w:r>
        <w:rPr>
          <w:sz w:val="24"/>
          <w:szCs w:val="24"/>
        </w:rPr>
        <w:t xml:space="preserve"> similar to our </w:t>
      </w:r>
      <w:r w:rsidR="0050711A">
        <w:rPr>
          <w:sz w:val="24"/>
          <w:szCs w:val="24"/>
        </w:rPr>
        <w:t xml:space="preserve">physical </w:t>
      </w:r>
      <w:r>
        <w:rPr>
          <w:sz w:val="24"/>
          <w:szCs w:val="24"/>
        </w:rPr>
        <w:t>network constructed from interbank trades</w:t>
      </w:r>
      <w:r w:rsidR="00B12628" w:rsidRPr="0069181D">
        <w:rPr>
          <w:sz w:val="24"/>
          <w:szCs w:val="24"/>
        </w:rPr>
        <w:t xml:space="preserve">. For example, Acemoglu, Ozdaglar and Tahbaz-Salehi (2013) </w:t>
      </w:r>
      <w:r w:rsidR="009956AF">
        <w:rPr>
          <w:sz w:val="24"/>
          <w:szCs w:val="24"/>
        </w:rPr>
        <w:t xml:space="preserve">find that </w:t>
      </w:r>
      <w:r w:rsidR="00B12628" w:rsidRPr="0069181D">
        <w:rPr>
          <w:sz w:val="24"/>
          <w:szCs w:val="24"/>
        </w:rPr>
        <w:t xml:space="preserve">financial contagion </w:t>
      </w:r>
      <w:r w:rsidR="009956AF">
        <w:rPr>
          <w:sz w:val="24"/>
          <w:szCs w:val="24"/>
        </w:rPr>
        <w:t>is</w:t>
      </w:r>
      <w:r w:rsidR="00B12628" w:rsidRPr="0069181D">
        <w:rPr>
          <w:sz w:val="24"/>
          <w:szCs w:val="24"/>
        </w:rPr>
        <w:t xml:space="preserve"> a function of the network structure</w:t>
      </w:r>
      <w:r w:rsidR="00196AB3">
        <w:rPr>
          <w:sz w:val="24"/>
          <w:szCs w:val="24"/>
        </w:rPr>
        <w:t>.</w:t>
      </w:r>
      <w:r w:rsidR="00B12628" w:rsidRPr="0069181D">
        <w:rPr>
          <w:sz w:val="24"/>
          <w:szCs w:val="24"/>
        </w:rPr>
        <w:t xml:space="preserve"> </w:t>
      </w:r>
      <w:r w:rsidR="00196AB3">
        <w:rPr>
          <w:sz w:val="24"/>
          <w:szCs w:val="24"/>
        </w:rPr>
        <w:t xml:space="preserve"> They </w:t>
      </w:r>
      <w:r w:rsidR="009956AF">
        <w:rPr>
          <w:sz w:val="24"/>
          <w:szCs w:val="24"/>
        </w:rPr>
        <w:t xml:space="preserve">confirm </w:t>
      </w:r>
      <w:r w:rsidR="00196AB3">
        <w:rPr>
          <w:sz w:val="24"/>
          <w:szCs w:val="24"/>
        </w:rPr>
        <w:t>(as in</w:t>
      </w:r>
      <w:r w:rsidR="00196AB3" w:rsidRPr="0069181D">
        <w:rPr>
          <w:sz w:val="24"/>
          <w:szCs w:val="24"/>
        </w:rPr>
        <w:t xml:space="preserve"> Allen and Gale (2000)</w:t>
      </w:r>
      <w:r w:rsidR="00196AB3">
        <w:rPr>
          <w:sz w:val="24"/>
          <w:szCs w:val="24"/>
        </w:rPr>
        <w:t xml:space="preserve">) </w:t>
      </w:r>
      <w:r w:rsidR="009956AF">
        <w:rPr>
          <w:sz w:val="24"/>
          <w:szCs w:val="24"/>
        </w:rPr>
        <w:t xml:space="preserve">that </w:t>
      </w:r>
      <w:r w:rsidR="009956AF" w:rsidRPr="0069181D">
        <w:rPr>
          <w:sz w:val="24"/>
          <w:szCs w:val="24"/>
        </w:rPr>
        <w:t>a network where all banks are connected is less fragile than an incomplete network</w:t>
      </w:r>
      <w:r w:rsidR="009956AF">
        <w:rPr>
          <w:sz w:val="24"/>
          <w:szCs w:val="24"/>
        </w:rPr>
        <w:t xml:space="preserve"> for small exogenous shocks. </w:t>
      </w:r>
      <w:r w:rsidR="00B12628" w:rsidRPr="0069181D">
        <w:rPr>
          <w:sz w:val="24"/>
          <w:szCs w:val="24"/>
        </w:rPr>
        <w:t xml:space="preserve">However, </w:t>
      </w:r>
      <w:r w:rsidR="00196AB3">
        <w:rPr>
          <w:sz w:val="24"/>
          <w:szCs w:val="24"/>
        </w:rPr>
        <w:t xml:space="preserve">for large </w:t>
      </w:r>
      <w:r w:rsidR="00B12628" w:rsidRPr="0069181D">
        <w:rPr>
          <w:sz w:val="24"/>
          <w:szCs w:val="24"/>
        </w:rPr>
        <w:t>shock</w:t>
      </w:r>
      <w:r w:rsidR="00196AB3">
        <w:rPr>
          <w:sz w:val="24"/>
          <w:szCs w:val="24"/>
        </w:rPr>
        <w:t>s</w:t>
      </w:r>
      <w:r w:rsidR="00B12628" w:rsidRPr="0069181D">
        <w:rPr>
          <w:sz w:val="24"/>
          <w:szCs w:val="24"/>
        </w:rPr>
        <w:t>, a more interconnected network facilitates contagion</w:t>
      </w:r>
      <w:r w:rsidR="00196AB3">
        <w:rPr>
          <w:sz w:val="24"/>
          <w:szCs w:val="24"/>
        </w:rPr>
        <w:t xml:space="preserve">, </w:t>
      </w:r>
      <w:r w:rsidR="00B12628" w:rsidRPr="0069181D">
        <w:rPr>
          <w:sz w:val="24"/>
          <w:szCs w:val="24"/>
        </w:rPr>
        <w:t>creat</w:t>
      </w:r>
      <w:r w:rsidR="00196AB3">
        <w:rPr>
          <w:sz w:val="24"/>
          <w:szCs w:val="24"/>
        </w:rPr>
        <w:t>ing</w:t>
      </w:r>
      <w:r w:rsidR="00B12628" w:rsidRPr="0069181D">
        <w:rPr>
          <w:sz w:val="24"/>
          <w:szCs w:val="24"/>
        </w:rPr>
        <w:t xml:space="preserve"> a more fragile system. </w:t>
      </w:r>
      <w:r w:rsidR="009956AF">
        <w:rPr>
          <w:sz w:val="24"/>
          <w:szCs w:val="24"/>
        </w:rPr>
        <w:t xml:space="preserve">Similarly, </w:t>
      </w:r>
      <w:r w:rsidR="009956AF" w:rsidRPr="0069181D">
        <w:rPr>
          <w:sz w:val="24"/>
          <w:szCs w:val="24"/>
        </w:rPr>
        <w:t>Gai, Haldane and Kapadia (2011)</w:t>
      </w:r>
      <w:r w:rsidR="009956AF">
        <w:rPr>
          <w:sz w:val="24"/>
          <w:szCs w:val="24"/>
        </w:rPr>
        <w:t xml:space="preserve"> present a</w:t>
      </w:r>
      <w:r w:rsidR="00B12628" w:rsidRPr="0069181D">
        <w:rPr>
          <w:sz w:val="24"/>
          <w:szCs w:val="24"/>
        </w:rPr>
        <w:t xml:space="preserve"> </w:t>
      </w:r>
      <w:r w:rsidR="007F49BF">
        <w:rPr>
          <w:sz w:val="24"/>
          <w:szCs w:val="24"/>
        </w:rPr>
        <w:t>t</w:t>
      </w:r>
      <w:r w:rsidR="00B12628" w:rsidRPr="0069181D">
        <w:rPr>
          <w:sz w:val="24"/>
          <w:szCs w:val="24"/>
        </w:rPr>
        <w:t>heoretical framework to identify tipping points in complex systems, whereby small</w:t>
      </w:r>
      <w:r w:rsidR="009956AF">
        <w:rPr>
          <w:sz w:val="24"/>
          <w:szCs w:val="24"/>
        </w:rPr>
        <w:t>s</w:t>
      </w:r>
      <w:r w:rsidR="00B12628" w:rsidRPr="0069181D">
        <w:rPr>
          <w:sz w:val="24"/>
          <w:szCs w:val="24"/>
        </w:rPr>
        <w:t xml:space="preserve"> shock can have large consequences.</w:t>
      </w:r>
    </w:p>
    <w:p w14:paraId="7EF74A5C" w14:textId="75E6237F" w:rsidR="00045032" w:rsidRPr="00045032" w:rsidRDefault="007F49BF" w:rsidP="00045032">
      <w:pPr>
        <w:spacing w:line="480" w:lineRule="auto"/>
        <w:ind w:firstLine="720"/>
        <w:jc w:val="both"/>
        <w:rPr>
          <w:sz w:val="24"/>
          <w:szCs w:val="24"/>
        </w:rPr>
      </w:pPr>
      <w:r>
        <w:rPr>
          <w:sz w:val="24"/>
          <w:szCs w:val="24"/>
        </w:rPr>
        <w:t>Some works</w:t>
      </w:r>
      <w:r w:rsidR="00B12628" w:rsidRPr="00045032">
        <w:rPr>
          <w:sz w:val="24"/>
          <w:szCs w:val="24"/>
        </w:rPr>
        <w:t xml:space="preserve"> consider both correlation and </w:t>
      </w:r>
      <w:r w:rsidR="0050711A" w:rsidRPr="00045032">
        <w:rPr>
          <w:sz w:val="24"/>
          <w:szCs w:val="24"/>
        </w:rPr>
        <w:t xml:space="preserve">physical </w:t>
      </w:r>
      <w:r w:rsidR="00B12628" w:rsidRPr="00045032">
        <w:rPr>
          <w:sz w:val="24"/>
          <w:szCs w:val="24"/>
        </w:rPr>
        <w:t>network</w:t>
      </w:r>
      <w:r w:rsidR="000D527E" w:rsidRPr="00045032">
        <w:rPr>
          <w:sz w:val="24"/>
          <w:szCs w:val="24"/>
        </w:rPr>
        <w:t>s</w:t>
      </w:r>
      <w:r w:rsidR="00B12628" w:rsidRPr="00045032">
        <w:rPr>
          <w:sz w:val="24"/>
          <w:szCs w:val="24"/>
        </w:rPr>
        <w:t xml:space="preserve">. Cifuentes, Ferrucci and Shin (2005) construct a model that incorporates two channels of contagion: direct linkages through the interbank market and indirect linkages through common holdings. Similarly, Caccioli, Farmer, Foti and Rockmore (2013) </w:t>
      </w:r>
      <w:r w:rsidR="00B12628" w:rsidRPr="00045032">
        <w:rPr>
          <w:sz w:val="24"/>
          <w:szCs w:val="24"/>
        </w:rPr>
        <w:lastRenderedPageBreak/>
        <w:t xml:space="preserve">analyze both the network of common holdings and the </w:t>
      </w:r>
      <w:r w:rsidR="0050711A" w:rsidRPr="00045032">
        <w:rPr>
          <w:sz w:val="24"/>
          <w:szCs w:val="24"/>
        </w:rPr>
        <w:t xml:space="preserve">physical </w:t>
      </w:r>
      <w:r w:rsidR="00B12628" w:rsidRPr="00045032">
        <w:rPr>
          <w:sz w:val="24"/>
          <w:szCs w:val="24"/>
        </w:rPr>
        <w:t>network and show that in a crisis</w:t>
      </w:r>
      <w:r>
        <w:rPr>
          <w:sz w:val="24"/>
          <w:szCs w:val="24"/>
        </w:rPr>
        <w:t>,</w:t>
      </w:r>
      <w:r w:rsidR="00B12628" w:rsidRPr="00045032">
        <w:rPr>
          <w:sz w:val="24"/>
          <w:szCs w:val="24"/>
        </w:rPr>
        <w:t xml:space="preserve"> contagion is mainly driven by common holding</w:t>
      </w:r>
      <w:r>
        <w:rPr>
          <w:sz w:val="24"/>
          <w:szCs w:val="24"/>
        </w:rPr>
        <w:t>s</w:t>
      </w:r>
      <w:r w:rsidR="00B12628" w:rsidRPr="00045032">
        <w:rPr>
          <w:sz w:val="24"/>
          <w:szCs w:val="24"/>
        </w:rPr>
        <w:t xml:space="preserve"> but it is amplified by </w:t>
      </w:r>
      <w:r>
        <w:rPr>
          <w:sz w:val="24"/>
          <w:szCs w:val="24"/>
        </w:rPr>
        <w:t xml:space="preserve">trading </w:t>
      </w:r>
      <w:r w:rsidR="00B12628" w:rsidRPr="00045032">
        <w:rPr>
          <w:sz w:val="24"/>
          <w:szCs w:val="24"/>
        </w:rPr>
        <w:t xml:space="preserve">the </w:t>
      </w:r>
      <w:r w:rsidR="0050711A" w:rsidRPr="00045032">
        <w:rPr>
          <w:sz w:val="24"/>
          <w:szCs w:val="24"/>
        </w:rPr>
        <w:t xml:space="preserve">physical </w:t>
      </w:r>
      <w:r w:rsidR="0068003F">
        <w:rPr>
          <w:sz w:val="24"/>
          <w:szCs w:val="24"/>
        </w:rPr>
        <w:t>network</w:t>
      </w:r>
      <w:r w:rsidR="0068003F">
        <w:rPr>
          <w:rFonts w:eastAsiaTheme="minorEastAsia"/>
          <w:sz w:val="24"/>
          <w:szCs w:val="24"/>
        </w:rPr>
        <w:t>—</w:t>
      </w:r>
      <w:r w:rsidR="00B12628" w:rsidRPr="00045032">
        <w:rPr>
          <w:sz w:val="24"/>
          <w:szCs w:val="24"/>
        </w:rPr>
        <w:t>i.e. both networks contribute to systemic risk.</w:t>
      </w:r>
      <w:r>
        <w:rPr>
          <w:rStyle w:val="FootnoteReference"/>
          <w:sz w:val="24"/>
          <w:szCs w:val="24"/>
        </w:rPr>
        <w:footnoteReference w:id="5"/>
      </w:r>
      <w:r w:rsidR="00B12628" w:rsidRPr="00045032">
        <w:rPr>
          <w:sz w:val="24"/>
          <w:szCs w:val="24"/>
        </w:rPr>
        <w:t xml:space="preserve"> </w:t>
      </w:r>
    </w:p>
    <w:p w14:paraId="6B6E8C99" w14:textId="046EE6A1" w:rsidR="00D031FA" w:rsidRDefault="00B12628" w:rsidP="00042BE9">
      <w:pPr>
        <w:pStyle w:val="ListParagraph"/>
        <w:spacing w:line="480" w:lineRule="auto"/>
        <w:ind w:left="0" w:firstLine="720"/>
        <w:jc w:val="both"/>
        <w:rPr>
          <w:sz w:val="24"/>
          <w:szCs w:val="24"/>
        </w:rPr>
      </w:pPr>
      <w:r w:rsidRPr="0069181D">
        <w:rPr>
          <w:sz w:val="24"/>
          <w:szCs w:val="24"/>
        </w:rPr>
        <w:t>Most of this literature highlights the fact that common asset holdings</w:t>
      </w:r>
      <w:r w:rsidR="00883FFF">
        <w:rPr>
          <w:sz w:val="24"/>
          <w:szCs w:val="24"/>
        </w:rPr>
        <w:t>, reflected in correlation networks,</w:t>
      </w:r>
      <w:r w:rsidRPr="0069181D">
        <w:rPr>
          <w:sz w:val="24"/>
          <w:szCs w:val="24"/>
        </w:rPr>
        <w:t xml:space="preserve"> </w:t>
      </w:r>
      <w:r w:rsidR="000D527E">
        <w:rPr>
          <w:sz w:val="24"/>
          <w:szCs w:val="24"/>
        </w:rPr>
        <w:t>are</w:t>
      </w:r>
      <w:r w:rsidR="000D527E" w:rsidRPr="0069181D">
        <w:rPr>
          <w:sz w:val="24"/>
          <w:szCs w:val="24"/>
        </w:rPr>
        <w:t xml:space="preserve"> </w:t>
      </w:r>
      <w:r w:rsidRPr="0069181D">
        <w:rPr>
          <w:sz w:val="24"/>
          <w:szCs w:val="24"/>
        </w:rPr>
        <w:t xml:space="preserve">the main source of systemic risk (Elsinger, Lehar and Summer (2006)) and that interbank lending </w:t>
      </w:r>
      <w:r w:rsidR="00883FFF">
        <w:rPr>
          <w:sz w:val="24"/>
          <w:szCs w:val="24"/>
        </w:rPr>
        <w:t xml:space="preserve">(the physical network of bank connections) </w:t>
      </w:r>
      <w:r w:rsidRPr="0069181D">
        <w:rPr>
          <w:sz w:val="24"/>
          <w:szCs w:val="24"/>
        </w:rPr>
        <w:t xml:space="preserve">plays only a marginal role. </w:t>
      </w:r>
      <w:r w:rsidR="000D527E">
        <w:rPr>
          <w:sz w:val="24"/>
          <w:szCs w:val="24"/>
        </w:rPr>
        <w:t>Conversely, w</w:t>
      </w:r>
      <w:r w:rsidRPr="0069181D">
        <w:rPr>
          <w:sz w:val="24"/>
          <w:szCs w:val="24"/>
        </w:rPr>
        <w:t>e analyze the</w:t>
      </w:r>
      <w:r w:rsidR="007F49BF">
        <w:rPr>
          <w:sz w:val="24"/>
          <w:szCs w:val="24"/>
        </w:rPr>
        <w:t xml:space="preserve">ses networks </w:t>
      </w:r>
      <w:r w:rsidRPr="0069181D">
        <w:rPr>
          <w:sz w:val="24"/>
          <w:szCs w:val="24"/>
        </w:rPr>
        <w:t>from a different angle</w:t>
      </w:r>
      <w:r w:rsidR="000D527E">
        <w:rPr>
          <w:sz w:val="24"/>
          <w:szCs w:val="24"/>
        </w:rPr>
        <w:t>. W</w:t>
      </w:r>
      <w:r w:rsidRPr="0069181D">
        <w:rPr>
          <w:sz w:val="24"/>
          <w:szCs w:val="24"/>
        </w:rPr>
        <w:t xml:space="preserve">e are </w:t>
      </w:r>
      <w:r w:rsidR="007F49BF">
        <w:rPr>
          <w:sz w:val="24"/>
          <w:szCs w:val="24"/>
        </w:rPr>
        <w:t>aim to</w:t>
      </w:r>
      <w:r w:rsidRPr="0069181D">
        <w:rPr>
          <w:sz w:val="24"/>
          <w:szCs w:val="24"/>
        </w:rPr>
        <w:t xml:space="preserve"> quantify the information content of these two network structures</w:t>
      </w:r>
      <w:r w:rsidR="000D527E">
        <w:rPr>
          <w:sz w:val="24"/>
          <w:szCs w:val="24"/>
        </w:rPr>
        <w:t xml:space="preserve"> to better understand </w:t>
      </w:r>
      <w:r w:rsidR="00D031FA">
        <w:rPr>
          <w:sz w:val="24"/>
          <w:szCs w:val="24"/>
        </w:rPr>
        <w:t>how policy decisions might be more effective in ameliorating systemic risk</w:t>
      </w:r>
      <w:r w:rsidR="00CC172B">
        <w:rPr>
          <w:sz w:val="24"/>
          <w:szCs w:val="24"/>
        </w:rPr>
        <w:t xml:space="preserve"> and enhancing market liquidity in times of crisis</w:t>
      </w:r>
      <w:r w:rsidRPr="0069181D">
        <w:rPr>
          <w:sz w:val="24"/>
          <w:szCs w:val="24"/>
        </w:rPr>
        <w:t xml:space="preserve">.  </w:t>
      </w:r>
    </w:p>
    <w:p w14:paraId="74844B96" w14:textId="7E206F2D" w:rsidR="00B12628" w:rsidRPr="00475890" w:rsidRDefault="00B12628" w:rsidP="00475890">
      <w:pPr>
        <w:spacing w:line="480" w:lineRule="auto"/>
        <w:rPr>
          <w:sz w:val="24"/>
          <w:szCs w:val="24"/>
        </w:rPr>
      </w:pPr>
    </w:p>
    <w:p w14:paraId="1254A491" w14:textId="1759FF9A" w:rsidR="0069181D" w:rsidRPr="0069181D" w:rsidRDefault="00DF40DD" w:rsidP="00666397">
      <w:pPr>
        <w:pStyle w:val="ListParagraph"/>
        <w:spacing w:line="480" w:lineRule="auto"/>
        <w:ind w:left="0"/>
        <w:rPr>
          <w:b/>
          <w:sz w:val="28"/>
          <w:szCs w:val="28"/>
        </w:rPr>
      </w:pPr>
      <w:r>
        <w:rPr>
          <w:b/>
          <w:sz w:val="28"/>
          <w:szCs w:val="28"/>
        </w:rPr>
        <w:t xml:space="preserve">3. </w:t>
      </w:r>
      <w:r w:rsidR="0069181D" w:rsidRPr="0069181D">
        <w:rPr>
          <w:b/>
          <w:sz w:val="28"/>
          <w:szCs w:val="28"/>
        </w:rPr>
        <w:t xml:space="preserve">An </w:t>
      </w:r>
      <w:r w:rsidR="004228BB">
        <w:rPr>
          <w:b/>
          <w:sz w:val="28"/>
          <w:szCs w:val="28"/>
        </w:rPr>
        <w:t>A</w:t>
      </w:r>
      <w:r w:rsidR="0069181D" w:rsidRPr="0069181D">
        <w:rPr>
          <w:b/>
          <w:sz w:val="28"/>
          <w:szCs w:val="28"/>
        </w:rPr>
        <w:t xml:space="preserve">ccounting </w:t>
      </w:r>
      <w:r w:rsidR="004228BB">
        <w:rPr>
          <w:b/>
          <w:sz w:val="28"/>
          <w:szCs w:val="28"/>
        </w:rPr>
        <w:t>F</w:t>
      </w:r>
      <w:r w:rsidR="0069181D" w:rsidRPr="0069181D">
        <w:rPr>
          <w:b/>
          <w:sz w:val="28"/>
          <w:szCs w:val="28"/>
        </w:rPr>
        <w:t>ramework</w:t>
      </w:r>
    </w:p>
    <w:p w14:paraId="543A17E1" w14:textId="38184285" w:rsidR="0069181D" w:rsidRPr="003145A6" w:rsidRDefault="0069181D" w:rsidP="00475890">
      <w:pPr>
        <w:spacing w:line="480" w:lineRule="auto"/>
        <w:ind w:firstLine="720"/>
        <w:jc w:val="both"/>
        <w:rPr>
          <w:sz w:val="24"/>
          <w:szCs w:val="24"/>
        </w:rPr>
      </w:pPr>
      <w:r w:rsidRPr="003145A6">
        <w:rPr>
          <w:sz w:val="24"/>
          <w:szCs w:val="24"/>
        </w:rPr>
        <w:t xml:space="preserve">In order to </w:t>
      </w:r>
      <w:r w:rsidR="007E0090">
        <w:rPr>
          <w:sz w:val="24"/>
          <w:szCs w:val="24"/>
        </w:rPr>
        <w:t>highlight</w:t>
      </w:r>
      <w:r w:rsidRPr="003145A6">
        <w:rPr>
          <w:sz w:val="24"/>
          <w:szCs w:val="24"/>
        </w:rPr>
        <w:t xml:space="preserve"> the two different network formations, we adopt a simple accounting framework</w:t>
      </w:r>
      <w:r w:rsidR="007E0090">
        <w:rPr>
          <w:sz w:val="24"/>
          <w:szCs w:val="24"/>
        </w:rPr>
        <w:t xml:space="preserve"> (f</w:t>
      </w:r>
      <w:r w:rsidRPr="003145A6">
        <w:rPr>
          <w:sz w:val="24"/>
          <w:szCs w:val="24"/>
        </w:rPr>
        <w:t>ollowing Shin (2009a</w:t>
      </w:r>
      <w:r w:rsidR="00425D09">
        <w:rPr>
          <w:sz w:val="24"/>
          <w:szCs w:val="24"/>
        </w:rPr>
        <w:t>, 2009</w:t>
      </w:r>
      <w:r w:rsidRPr="003145A6">
        <w:rPr>
          <w:sz w:val="24"/>
          <w:szCs w:val="24"/>
        </w:rPr>
        <w:t>b) and Elliott, Golub and Jackson (2014)</w:t>
      </w:r>
      <w:r w:rsidR="007E0090">
        <w:rPr>
          <w:sz w:val="24"/>
          <w:szCs w:val="24"/>
        </w:rPr>
        <w:t>).</w:t>
      </w:r>
      <w:r w:rsidRPr="003145A6">
        <w:rPr>
          <w:sz w:val="24"/>
          <w:szCs w:val="24"/>
        </w:rPr>
        <w:t xml:space="preserve"> </w:t>
      </w:r>
      <w:r w:rsidR="007E0090">
        <w:rPr>
          <w:sz w:val="24"/>
          <w:szCs w:val="24"/>
        </w:rPr>
        <w:t>W</w:t>
      </w:r>
      <w:r w:rsidRPr="003145A6">
        <w:rPr>
          <w:sz w:val="24"/>
          <w:szCs w:val="24"/>
        </w:rPr>
        <w:t>e consider a simple financial system in which banks connect lenders to borrowers</w:t>
      </w:r>
      <w:r w:rsidR="0089155E">
        <w:rPr>
          <w:sz w:val="24"/>
          <w:szCs w:val="24"/>
        </w:rPr>
        <w:t xml:space="preserve"> as </w:t>
      </w:r>
      <w:r w:rsidRPr="003145A6">
        <w:rPr>
          <w:sz w:val="24"/>
          <w:szCs w:val="24"/>
        </w:rPr>
        <w:t>intermediaries</w:t>
      </w:r>
      <w:r w:rsidR="0089155E">
        <w:rPr>
          <w:sz w:val="24"/>
          <w:szCs w:val="24"/>
        </w:rPr>
        <w:t xml:space="preserve">, </w:t>
      </w:r>
      <w:r w:rsidRPr="003145A6">
        <w:rPr>
          <w:sz w:val="24"/>
          <w:szCs w:val="24"/>
        </w:rPr>
        <w:t>collect</w:t>
      </w:r>
      <w:r w:rsidR="0089155E">
        <w:rPr>
          <w:sz w:val="24"/>
          <w:szCs w:val="24"/>
        </w:rPr>
        <w:t>ing</w:t>
      </w:r>
      <w:r w:rsidRPr="003145A6">
        <w:rPr>
          <w:sz w:val="24"/>
          <w:szCs w:val="24"/>
        </w:rPr>
        <w:t xml:space="preserve"> deposits from households and firms</w:t>
      </w:r>
      <w:r w:rsidR="00D40AA2">
        <w:rPr>
          <w:sz w:val="24"/>
          <w:szCs w:val="24"/>
        </w:rPr>
        <w:t xml:space="preserve"> and </w:t>
      </w:r>
      <w:r w:rsidRPr="003145A6">
        <w:rPr>
          <w:sz w:val="24"/>
          <w:szCs w:val="24"/>
        </w:rPr>
        <w:t>invest</w:t>
      </w:r>
      <w:r w:rsidR="0089155E">
        <w:rPr>
          <w:sz w:val="24"/>
          <w:szCs w:val="24"/>
        </w:rPr>
        <w:t>ing</w:t>
      </w:r>
      <w:r w:rsidRPr="003145A6">
        <w:rPr>
          <w:sz w:val="24"/>
          <w:szCs w:val="24"/>
        </w:rPr>
        <w:t xml:space="preserve"> the deposits in a portfolio of assets, including loans to the household sector (</w:t>
      </w:r>
      <w:r w:rsidR="0089155E">
        <w:rPr>
          <w:sz w:val="24"/>
          <w:szCs w:val="24"/>
        </w:rPr>
        <w:t xml:space="preserve">via </w:t>
      </w:r>
      <w:r w:rsidRPr="003145A6">
        <w:rPr>
          <w:sz w:val="24"/>
          <w:szCs w:val="24"/>
        </w:rPr>
        <w:t>mortgages and consumer debt) and firms.</w:t>
      </w:r>
    </w:p>
    <w:p w14:paraId="14D3FCCA" w14:textId="77777777" w:rsidR="0069181D" w:rsidRPr="003145A6" w:rsidRDefault="0069181D" w:rsidP="0085633E">
      <w:pPr>
        <w:spacing w:line="480" w:lineRule="auto"/>
        <w:ind w:firstLine="360"/>
        <w:rPr>
          <w:sz w:val="24"/>
          <w:szCs w:val="24"/>
        </w:rPr>
      </w:pPr>
      <w:r w:rsidRPr="003145A6">
        <w:rPr>
          <w:sz w:val="24"/>
          <w:szCs w:val="24"/>
        </w:rPr>
        <w:t>We introduce now some notation:</w:t>
      </w:r>
    </w:p>
    <w:p w14:paraId="2395992B" w14:textId="0C0B8B4C" w:rsidR="0069181D" w:rsidRPr="003145A6" w:rsidRDefault="00851398" w:rsidP="0069181D">
      <w:pPr>
        <w:pStyle w:val="ListParagraph"/>
        <w:numPr>
          <w:ilvl w:val="0"/>
          <w:numId w:val="12"/>
        </w:numPr>
        <w:spacing w:line="480" w:lineRule="auto"/>
        <w:rPr>
          <w:sz w:val="24"/>
          <w:szCs w:val="24"/>
        </w:rPr>
      </w:pP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i,k</m:t>
            </m:r>
          </m:sub>
        </m:sSub>
      </m:oMath>
      <w:r w:rsidR="0069181D" w:rsidRPr="003145A6">
        <w:rPr>
          <w:rFonts w:eastAsiaTheme="minorEastAsia"/>
          <w:sz w:val="24"/>
          <w:szCs w:val="24"/>
        </w:rPr>
        <w:t xml:space="preserve"> denotes the market value of bank </w:t>
      </w:r>
      <w:r w:rsidR="0069181D" w:rsidRPr="003145A6">
        <w:rPr>
          <w:rFonts w:eastAsiaTheme="minorEastAsia"/>
          <w:i/>
          <w:sz w:val="24"/>
          <w:szCs w:val="24"/>
        </w:rPr>
        <w:t>i</w:t>
      </w:r>
      <w:r w:rsidR="004F6D4F">
        <w:rPr>
          <w:rFonts w:eastAsiaTheme="minorEastAsia"/>
          <w:sz w:val="24"/>
          <w:szCs w:val="24"/>
        </w:rPr>
        <w:t>’s assets—</w:t>
      </w:r>
      <w:r w:rsidR="0069181D" w:rsidRPr="003145A6">
        <w:rPr>
          <w:rFonts w:eastAsiaTheme="minorEastAsia"/>
          <w:sz w:val="24"/>
          <w:szCs w:val="24"/>
        </w:rPr>
        <w:t>includ</w:t>
      </w:r>
      <w:r w:rsidR="00425D09">
        <w:rPr>
          <w:rFonts w:eastAsiaTheme="minorEastAsia"/>
          <w:sz w:val="24"/>
          <w:szCs w:val="24"/>
        </w:rPr>
        <w:t>ing</w:t>
      </w:r>
      <w:r w:rsidR="0069181D" w:rsidRPr="003145A6">
        <w:rPr>
          <w:rFonts w:eastAsiaTheme="minorEastAsia"/>
          <w:sz w:val="24"/>
          <w:szCs w:val="24"/>
        </w:rPr>
        <w:t xml:space="preserve"> loans to firms and households as well as </w:t>
      </w:r>
      <w:r w:rsidR="00425D09" w:rsidRPr="00590E71">
        <w:rPr>
          <w:rFonts w:eastAsiaTheme="minorEastAsia"/>
          <w:i/>
          <w:sz w:val="24"/>
          <w:szCs w:val="24"/>
        </w:rPr>
        <w:t>k</w:t>
      </w:r>
      <w:r w:rsidR="00425D09">
        <w:rPr>
          <w:rFonts w:eastAsiaTheme="minorEastAsia"/>
          <w:sz w:val="24"/>
          <w:szCs w:val="24"/>
        </w:rPr>
        <w:t xml:space="preserve"> </w:t>
      </w:r>
      <w:r w:rsidR="0069181D" w:rsidRPr="003145A6">
        <w:rPr>
          <w:rFonts w:eastAsiaTheme="minorEastAsia"/>
          <w:sz w:val="24"/>
          <w:szCs w:val="24"/>
        </w:rPr>
        <w:t xml:space="preserve">asset classes </w:t>
      </w:r>
      <w:r w:rsidR="00425D09">
        <w:rPr>
          <w:rFonts w:eastAsiaTheme="minorEastAsia"/>
          <w:sz w:val="24"/>
          <w:szCs w:val="24"/>
        </w:rPr>
        <w:t>(</w:t>
      </w:r>
      <w:r w:rsidR="0069181D" w:rsidRPr="003145A6">
        <w:rPr>
          <w:rFonts w:eastAsiaTheme="minorEastAsia"/>
          <w:sz w:val="24"/>
          <w:szCs w:val="24"/>
        </w:rPr>
        <w:t>equities, bonds, commodities, etc.</w:t>
      </w:r>
      <w:r w:rsidR="00425D09">
        <w:rPr>
          <w:rFonts w:eastAsiaTheme="minorEastAsia"/>
          <w:sz w:val="24"/>
          <w:szCs w:val="24"/>
        </w:rPr>
        <w:t>).</w:t>
      </w:r>
    </w:p>
    <w:p w14:paraId="3D21BA8C" w14:textId="77777777" w:rsidR="0069181D" w:rsidRPr="003145A6" w:rsidRDefault="00851398" w:rsidP="0069181D">
      <w:pPr>
        <w:pStyle w:val="ListParagraph"/>
        <w:numPr>
          <w:ilvl w:val="0"/>
          <w:numId w:val="12"/>
        </w:numPr>
        <w:spacing w:line="480" w:lineRule="auto"/>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i,k</m:t>
            </m:r>
          </m:sub>
        </m:sSub>
      </m:oMath>
      <w:r w:rsidR="0069181D" w:rsidRPr="003145A6">
        <w:rPr>
          <w:rFonts w:eastAsiaTheme="minorEastAsia"/>
          <w:sz w:val="24"/>
          <w:szCs w:val="24"/>
        </w:rPr>
        <w:t xml:space="preserve"> is the weight invested in each of the </w:t>
      </w:r>
      <w:r w:rsidR="0069181D" w:rsidRPr="003145A6">
        <w:rPr>
          <w:rFonts w:eastAsiaTheme="minorEastAsia"/>
          <w:i/>
          <w:sz w:val="24"/>
          <w:szCs w:val="24"/>
        </w:rPr>
        <w:t>k</w:t>
      </w:r>
      <w:r w:rsidR="0069181D" w:rsidRPr="003145A6">
        <w:rPr>
          <w:rFonts w:eastAsiaTheme="minorEastAsia"/>
          <w:sz w:val="24"/>
          <w:szCs w:val="24"/>
        </w:rPr>
        <w:t xml:space="preserve"> assets by bank </w:t>
      </w:r>
      <w:r w:rsidR="0069181D" w:rsidRPr="003145A6">
        <w:rPr>
          <w:rFonts w:eastAsiaTheme="minorEastAsia"/>
          <w:i/>
          <w:sz w:val="24"/>
          <w:szCs w:val="24"/>
        </w:rPr>
        <w:t>i</w:t>
      </w:r>
      <w:r w:rsidR="0069181D" w:rsidRPr="003145A6">
        <w:rPr>
          <w:rFonts w:eastAsiaTheme="minorEastAsia"/>
          <w:sz w:val="24"/>
          <w:szCs w:val="24"/>
        </w:rPr>
        <w:t xml:space="preserve">; </w:t>
      </w:r>
      <m:oMath>
        <m:nary>
          <m:naryPr>
            <m:chr m:val="∑"/>
            <m:limLoc m:val="undOvr"/>
            <m:supHide m:val="1"/>
            <m:ctrlPr>
              <w:rPr>
                <w:rFonts w:ascii="Cambria Math" w:eastAsiaTheme="minorEastAsia" w:hAnsi="Cambria Math"/>
                <w:i/>
                <w:sz w:val="24"/>
                <w:szCs w:val="24"/>
              </w:rPr>
            </m:ctrlPr>
          </m:naryPr>
          <m:sub>
            <m:r>
              <w:rPr>
                <w:rFonts w:ascii="Cambria Math" w:eastAsiaTheme="minorEastAsia" w:hAnsi="Cambria Math"/>
                <w:sz w:val="24"/>
                <w:szCs w:val="24"/>
              </w:rPr>
              <m:t>k</m:t>
            </m:r>
          </m:sub>
          <m:sup/>
          <m:e>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i,k</m:t>
                </m:r>
              </m:sub>
            </m:sSub>
            <m:r>
              <w:rPr>
                <w:rFonts w:ascii="Cambria Math" w:eastAsiaTheme="minorEastAsia" w:hAnsi="Cambria Math"/>
                <w:sz w:val="24"/>
                <w:szCs w:val="24"/>
              </w:rPr>
              <m:t>=1</m:t>
            </m:r>
          </m:e>
        </m:nary>
        <m:r>
          <w:rPr>
            <w:rFonts w:ascii="Cambria Math" w:eastAsiaTheme="minorEastAsia" w:hAnsi="Cambria Math"/>
            <w:sz w:val="24"/>
            <w:szCs w:val="24"/>
          </w:rPr>
          <m:t>;</m:t>
        </m:r>
      </m:oMath>
    </w:p>
    <w:p w14:paraId="51FE61FA" w14:textId="77777777" w:rsidR="0069181D" w:rsidRPr="003145A6" w:rsidRDefault="00851398" w:rsidP="0069181D">
      <w:pPr>
        <w:pStyle w:val="ListParagraph"/>
        <w:numPr>
          <w:ilvl w:val="0"/>
          <w:numId w:val="12"/>
        </w:numPr>
        <w:spacing w:line="480" w:lineRule="auto"/>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oMath>
      <w:r w:rsidR="0069181D" w:rsidRPr="003145A6">
        <w:rPr>
          <w:rFonts w:eastAsiaTheme="minorEastAsia"/>
          <w:sz w:val="24"/>
          <w:szCs w:val="24"/>
        </w:rPr>
        <w:t xml:space="preserve"> denotes the total value of liabilities of bank </w:t>
      </w:r>
      <w:r w:rsidR="0069181D" w:rsidRPr="003145A6">
        <w:rPr>
          <w:rFonts w:eastAsiaTheme="minorEastAsia"/>
          <w:i/>
          <w:sz w:val="24"/>
          <w:szCs w:val="24"/>
        </w:rPr>
        <w:t>i</w:t>
      </w:r>
      <w:r w:rsidR="0069181D" w:rsidRPr="003145A6">
        <w:rPr>
          <w:rFonts w:eastAsiaTheme="minorEastAsia"/>
          <w:sz w:val="24"/>
          <w:szCs w:val="24"/>
        </w:rPr>
        <w:t xml:space="preserve"> held by other banks;</w:t>
      </w:r>
    </w:p>
    <w:p w14:paraId="27019AD9" w14:textId="77777777" w:rsidR="0069181D" w:rsidRPr="003145A6" w:rsidRDefault="00851398" w:rsidP="0069181D">
      <w:pPr>
        <w:pStyle w:val="ListParagraph"/>
        <w:numPr>
          <w:ilvl w:val="0"/>
          <w:numId w:val="12"/>
        </w:numPr>
        <w:spacing w:line="480" w:lineRule="auto"/>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i,j</m:t>
            </m:r>
          </m:sub>
        </m:sSub>
      </m:oMath>
      <w:r w:rsidR="0069181D" w:rsidRPr="003145A6">
        <w:rPr>
          <w:rFonts w:eastAsiaTheme="minorEastAsia"/>
          <w:sz w:val="24"/>
          <w:szCs w:val="24"/>
        </w:rPr>
        <w:t xml:space="preserve"> is the value of bank </w:t>
      </w:r>
      <w:r w:rsidR="0069181D" w:rsidRPr="003145A6">
        <w:rPr>
          <w:rFonts w:eastAsiaTheme="minorEastAsia"/>
          <w:i/>
          <w:sz w:val="24"/>
          <w:szCs w:val="24"/>
        </w:rPr>
        <w:t>i</w:t>
      </w:r>
      <w:r w:rsidR="0069181D" w:rsidRPr="003145A6">
        <w:rPr>
          <w:rFonts w:eastAsiaTheme="minorEastAsia"/>
          <w:sz w:val="24"/>
          <w:szCs w:val="24"/>
        </w:rPr>
        <w:t xml:space="preserve">’s liabilities held by bank </w:t>
      </w:r>
      <w:r w:rsidR="0069181D" w:rsidRPr="003145A6">
        <w:rPr>
          <w:rFonts w:eastAsiaTheme="minorEastAsia"/>
          <w:i/>
          <w:sz w:val="24"/>
          <w:szCs w:val="24"/>
        </w:rPr>
        <w:t>j</w:t>
      </w:r>
      <w:r w:rsidR="0069181D" w:rsidRPr="003145A6">
        <w:rPr>
          <w:rFonts w:eastAsiaTheme="minorEastAsia"/>
          <w:sz w:val="24"/>
          <w:szCs w:val="24"/>
        </w:rPr>
        <w:t xml:space="preserve">; </w:t>
      </w:r>
    </w:p>
    <w:p w14:paraId="039E474F" w14:textId="77777777" w:rsidR="0069181D" w:rsidRPr="003145A6" w:rsidRDefault="00851398" w:rsidP="0069181D">
      <w:pPr>
        <w:pStyle w:val="ListParagraph"/>
        <w:numPr>
          <w:ilvl w:val="0"/>
          <w:numId w:val="12"/>
        </w:numPr>
        <w:spacing w:line="480" w:lineRule="auto"/>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π</m:t>
            </m:r>
          </m:e>
          <m:sub>
            <m:r>
              <w:rPr>
                <w:rFonts w:ascii="Cambria Math" w:hAnsi="Cambria Math"/>
                <w:sz w:val="24"/>
                <w:szCs w:val="24"/>
              </w:rPr>
              <m:t>i,j</m:t>
            </m:r>
          </m:sub>
        </m:sSub>
      </m:oMath>
      <w:r w:rsidR="0069181D" w:rsidRPr="003145A6">
        <w:rPr>
          <w:rFonts w:eastAsiaTheme="minorEastAsia"/>
          <w:sz w:val="24"/>
          <w:szCs w:val="24"/>
        </w:rPr>
        <w:t xml:space="preserve"> is the share of bank </w:t>
      </w:r>
      <w:r w:rsidR="0069181D" w:rsidRPr="003145A6">
        <w:rPr>
          <w:rFonts w:eastAsiaTheme="minorEastAsia"/>
          <w:i/>
          <w:sz w:val="24"/>
          <w:szCs w:val="24"/>
        </w:rPr>
        <w:t>i</w:t>
      </w:r>
      <w:r w:rsidR="0069181D" w:rsidRPr="003145A6">
        <w:rPr>
          <w:rFonts w:eastAsiaTheme="minorEastAsia"/>
          <w:sz w:val="24"/>
          <w:szCs w:val="24"/>
        </w:rPr>
        <w:t xml:space="preserve">’s liabilities held by bank </w:t>
      </w:r>
      <w:r w:rsidR="0069181D" w:rsidRPr="003145A6">
        <w:rPr>
          <w:rFonts w:eastAsiaTheme="minorEastAsia"/>
          <w:i/>
          <w:sz w:val="24"/>
          <w:szCs w:val="24"/>
        </w:rPr>
        <w:t>j</w:t>
      </w:r>
      <w:r w:rsidR="0069181D" w:rsidRPr="003145A6">
        <w:rPr>
          <w:rFonts w:eastAsiaTheme="minorEastAsia"/>
          <w:sz w:val="24"/>
          <w:szCs w:val="24"/>
        </w:rPr>
        <w:t>;</w:t>
      </w:r>
    </w:p>
    <w:p w14:paraId="6A225852" w14:textId="77777777" w:rsidR="0069181D" w:rsidRPr="003145A6" w:rsidRDefault="00851398" w:rsidP="0069181D">
      <w:pPr>
        <w:pStyle w:val="ListParagraph"/>
        <w:numPr>
          <w:ilvl w:val="0"/>
          <w:numId w:val="12"/>
        </w:numPr>
        <w:spacing w:line="480" w:lineRule="auto"/>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i</m:t>
            </m:r>
          </m:sub>
        </m:sSub>
      </m:oMath>
      <w:r w:rsidR="0069181D" w:rsidRPr="003145A6">
        <w:rPr>
          <w:rFonts w:eastAsiaTheme="minorEastAsia"/>
          <w:sz w:val="24"/>
          <w:szCs w:val="24"/>
        </w:rPr>
        <w:t xml:space="preserve"> indicates the market value of bank </w:t>
      </w:r>
      <w:r w:rsidR="0069181D" w:rsidRPr="003145A6">
        <w:rPr>
          <w:rFonts w:eastAsiaTheme="minorEastAsia"/>
          <w:i/>
          <w:sz w:val="24"/>
          <w:szCs w:val="24"/>
        </w:rPr>
        <w:t>i</w:t>
      </w:r>
      <w:r w:rsidR="0069181D" w:rsidRPr="003145A6">
        <w:rPr>
          <w:rFonts w:eastAsiaTheme="minorEastAsia"/>
          <w:sz w:val="24"/>
          <w:szCs w:val="24"/>
        </w:rPr>
        <w:t xml:space="preserve">’s equity; </w:t>
      </w:r>
    </w:p>
    <w:p w14:paraId="42A32B97" w14:textId="77777777" w:rsidR="0069181D" w:rsidRPr="003145A6" w:rsidRDefault="00851398" w:rsidP="0069181D">
      <w:pPr>
        <w:pStyle w:val="ListParagraph"/>
        <w:numPr>
          <w:ilvl w:val="0"/>
          <w:numId w:val="12"/>
        </w:numPr>
        <w:spacing w:line="480" w:lineRule="auto"/>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oMath>
      <w:r w:rsidR="0069181D" w:rsidRPr="003145A6">
        <w:rPr>
          <w:rFonts w:eastAsiaTheme="minorEastAsia"/>
          <w:sz w:val="24"/>
          <w:szCs w:val="24"/>
        </w:rPr>
        <w:t xml:space="preserve"> is the total value of liabilities of bank </w:t>
      </w:r>
      <w:r w:rsidR="0069181D" w:rsidRPr="003145A6">
        <w:rPr>
          <w:rFonts w:eastAsiaTheme="minorEastAsia"/>
          <w:i/>
          <w:sz w:val="24"/>
          <w:szCs w:val="24"/>
        </w:rPr>
        <w:t>i</w:t>
      </w:r>
      <w:r w:rsidR="0069181D" w:rsidRPr="003145A6">
        <w:rPr>
          <w:rFonts w:eastAsiaTheme="minorEastAsia"/>
          <w:sz w:val="24"/>
          <w:szCs w:val="24"/>
        </w:rPr>
        <w:t xml:space="preserve"> held by non-banks.</w:t>
      </w:r>
    </w:p>
    <w:p w14:paraId="08CC059E" w14:textId="77777777" w:rsidR="0069181D" w:rsidRPr="003145A6" w:rsidRDefault="0069181D" w:rsidP="0069181D">
      <w:pPr>
        <w:spacing w:line="480" w:lineRule="auto"/>
        <w:rPr>
          <w:rFonts w:eastAsiaTheme="minorEastAsia"/>
          <w:sz w:val="24"/>
          <w:szCs w:val="24"/>
        </w:rPr>
      </w:pPr>
      <w:r w:rsidRPr="003145A6">
        <w:rPr>
          <w:rFonts w:eastAsiaTheme="minorEastAsia"/>
          <w:sz w:val="24"/>
          <w:szCs w:val="24"/>
        </w:rPr>
        <w:t xml:space="preserve">Hence, banks </w:t>
      </w:r>
      <w:r w:rsidRPr="003145A6">
        <w:rPr>
          <w:rFonts w:eastAsiaTheme="minorEastAsia"/>
          <w:i/>
          <w:sz w:val="24"/>
          <w:szCs w:val="24"/>
        </w:rPr>
        <w:t>i</w:t>
      </w:r>
      <w:r w:rsidRPr="003145A6">
        <w:rPr>
          <w:rFonts w:eastAsiaTheme="minorEastAsia"/>
          <w:sz w:val="24"/>
          <w:szCs w:val="24"/>
        </w:rPr>
        <w:t>’s balance sheet is given by</w:t>
      </w:r>
    </w:p>
    <w:p w14:paraId="16003600" w14:textId="77777777" w:rsidR="0069181D" w:rsidRDefault="0069181D" w:rsidP="0069181D">
      <w:pPr>
        <w:spacing w:line="480" w:lineRule="auto"/>
        <w:rPr>
          <w:rFonts w:eastAsiaTheme="minorEastAsia"/>
        </w:rPr>
      </w:pPr>
    </w:p>
    <w:tbl>
      <w:tblPr>
        <w:tblStyle w:val="TableGrid"/>
        <w:tblW w:w="0" w:type="auto"/>
        <w:tblInd w:w="1638" w:type="dxa"/>
        <w:tblBorders>
          <w:insideH w:val="none" w:sz="0" w:space="0" w:color="auto"/>
        </w:tblBorders>
        <w:tblLook w:val="04A0" w:firstRow="1" w:lastRow="0" w:firstColumn="1" w:lastColumn="0" w:noHBand="0" w:noVBand="1"/>
      </w:tblPr>
      <w:tblGrid>
        <w:gridCol w:w="2358"/>
        <w:gridCol w:w="2438"/>
        <w:gridCol w:w="2346"/>
      </w:tblGrid>
      <w:tr w:rsidR="0069181D" w:rsidRPr="003145A6" w14:paraId="431C6BDE" w14:textId="77777777" w:rsidTr="00590E71">
        <w:trPr>
          <w:trHeight w:val="238"/>
        </w:trPr>
        <w:tc>
          <w:tcPr>
            <w:tcW w:w="2358" w:type="dxa"/>
            <w:tcBorders>
              <w:top w:val="single" w:sz="4" w:space="0" w:color="auto"/>
              <w:bottom w:val="dashed" w:sz="4" w:space="0" w:color="auto"/>
            </w:tcBorders>
          </w:tcPr>
          <w:p w14:paraId="212448F0" w14:textId="77777777" w:rsidR="0069181D" w:rsidRPr="003145A6" w:rsidRDefault="0069181D" w:rsidP="00437FC9">
            <w:pPr>
              <w:spacing w:line="360" w:lineRule="auto"/>
              <w:jc w:val="center"/>
              <w:rPr>
                <w:rFonts w:eastAsiaTheme="minorEastAsia"/>
                <w:sz w:val="24"/>
                <w:szCs w:val="24"/>
              </w:rPr>
            </w:pPr>
            <w:r w:rsidRPr="003145A6">
              <w:rPr>
                <w:rFonts w:eastAsiaTheme="minorEastAsia"/>
                <w:sz w:val="24"/>
                <w:szCs w:val="24"/>
              </w:rPr>
              <w:t>Assets</w:t>
            </w:r>
          </w:p>
        </w:tc>
        <w:tc>
          <w:tcPr>
            <w:tcW w:w="2438" w:type="dxa"/>
            <w:tcBorders>
              <w:top w:val="single" w:sz="4" w:space="0" w:color="auto"/>
              <w:bottom w:val="dashed" w:sz="4" w:space="0" w:color="auto"/>
            </w:tcBorders>
          </w:tcPr>
          <w:p w14:paraId="080ED5BD" w14:textId="77777777" w:rsidR="0069181D" w:rsidRPr="003145A6" w:rsidRDefault="0069181D" w:rsidP="00437FC9">
            <w:pPr>
              <w:spacing w:line="360" w:lineRule="auto"/>
              <w:jc w:val="center"/>
              <w:rPr>
                <w:rFonts w:eastAsiaTheme="minorEastAsia"/>
                <w:sz w:val="24"/>
                <w:szCs w:val="24"/>
              </w:rPr>
            </w:pPr>
            <w:r w:rsidRPr="003145A6">
              <w:rPr>
                <w:rFonts w:eastAsiaTheme="minorEastAsia"/>
                <w:sz w:val="24"/>
                <w:szCs w:val="24"/>
              </w:rPr>
              <w:t>Liabilities</w:t>
            </w:r>
          </w:p>
        </w:tc>
        <w:tc>
          <w:tcPr>
            <w:tcW w:w="2346" w:type="dxa"/>
            <w:tcBorders>
              <w:top w:val="nil"/>
              <w:bottom w:val="nil"/>
              <w:right w:val="nil"/>
            </w:tcBorders>
          </w:tcPr>
          <w:p w14:paraId="3C2A7021" w14:textId="77777777" w:rsidR="0069181D" w:rsidRPr="003145A6" w:rsidRDefault="0069181D" w:rsidP="00437FC9">
            <w:pPr>
              <w:spacing w:line="360" w:lineRule="auto"/>
              <w:jc w:val="center"/>
              <w:rPr>
                <w:rFonts w:eastAsiaTheme="minorEastAsia"/>
                <w:sz w:val="24"/>
                <w:szCs w:val="24"/>
              </w:rPr>
            </w:pPr>
          </w:p>
        </w:tc>
      </w:tr>
      <w:tr w:rsidR="00425D09" w:rsidRPr="003145A6" w14:paraId="3B177F0D" w14:textId="77777777" w:rsidTr="00590E71">
        <w:trPr>
          <w:trHeight w:val="855"/>
        </w:trPr>
        <w:tc>
          <w:tcPr>
            <w:tcW w:w="2358" w:type="dxa"/>
            <w:vMerge w:val="restart"/>
            <w:tcBorders>
              <w:top w:val="dashed" w:sz="4" w:space="0" w:color="auto"/>
            </w:tcBorders>
          </w:tcPr>
          <w:p w14:paraId="3463013C" w14:textId="77777777" w:rsidR="00425D09" w:rsidRPr="003145A6" w:rsidRDefault="00425D09" w:rsidP="00437FC9">
            <w:pPr>
              <w:spacing w:line="360" w:lineRule="auto"/>
              <w:rPr>
                <w:rFonts w:eastAsiaTheme="minorEastAsia"/>
                <w:sz w:val="24"/>
                <w:szCs w:val="24"/>
              </w:rPr>
            </w:pPr>
          </w:p>
          <w:p w14:paraId="55332F9D" w14:textId="33BED4A0" w:rsidR="00425D09" w:rsidRPr="003145A6" w:rsidRDefault="00851398" w:rsidP="00437FC9">
            <w:pPr>
              <w:spacing w:line="360" w:lineRule="auto"/>
              <w:rPr>
                <w:rFonts w:eastAsiaTheme="minorEastAsia"/>
                <w:sz w:val="24"/>
                <w:szCs w:val="24"/>
              </w:rPr>
            </w:pPr>
            <m:oMathPara>
              <m:oMath>
                <m:nary>
                  <m:naryPr>
                    <m:chr m:val="∑"/>
                    <m:limLoc m:val="undOvr"/>
                    <m:supHide m:val="1"/>
                    <m:ctrlPr>
                      <w:rPr>
                        <w:rFonts w:ascii="Cambria Math" w:eastAsiaTheme="minorEastAsia" w:hAnsi="Cambria Math"/>
                        <w:i/>
                        <w:sz w:val="24"/>
                        <w:szCs w:val="24"/>
                      </w:rPr>
                    </m:ctrlPr>
                  </m:naryPr>
                  <m:sub>
                    <m:r>
                      <w:rPr>
                        <w:rFonts w:ascii="Cambria Math" w:eastAsiaTheme="minorEastAsia" w:hAnsi="Cambria Math"/>
                        <w:sz w:val="24"/>
                        <w:szCs w:val="24"/>
                      </w:rPr>
                      <m:t>k</m:t>
                    </m:r>
                  </m:sub>
                  <m:sup/>
                  <m:e>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i,k</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i,k</m:t>
                        </m:r>
                      </m:sub>
                    </m:sSub>
                  </m:e>
                </m:nary>
              </m:oMath>
            </m:oMathPara>
          </w:p>
        </w:tc>
        <w:tc>
          <w:tcPr>
            <w:tcW w:w="2438" w:type="dxa"/>
            <w:tcBorders>
              <w:top w:val="dashed" w:sz="4" w:space="0" w:color="auto"/>
            </w:tcBorders>
          </w:tcPr>
          <w:p w14:paraId="27B68B8E" w14:textId="77777777" w:rsidR="00425D09" w:rsidRPr="003145A6" w:rsidRDefault="00425D09" w:rsidP="00437FC9">
            <w:pPr>
              <w:spacing w:line="360" w:lineRule="auto"/>
              <w:rPr>
                <w:rFonts w:eastAsiaTheme="minorEastAsia"/>
                <w:sz w:val="24"/>
                <w:szCs w:val="24"/>
              </w:rPr>
            </w:pPr>
          </w:p>
          <w:p w14:paraId="2114812F" w14:textId="77777777" w:rsidR="00425D09" w:rsidRPr="003145A6" w:rsidRDefault="00851398" w:rsidP="00437FC9">
            <w:pPr>
              <w:spacing w:line="360" w:lineRule="auto"/>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i</m:t>
                    </m:r>
                  </m:sub>
                </m:sSub>
              </m:oMath>
            </m:oMathPara>
          </w:p>
        </w:tc>
        <w:tc>
          <w:tcPr>
            <w:tcW w:w="2346" w:type="dxa"/>
            <w:tcBorders>
              <w:top w:val="nil"/>
              <w:bottom w:val="nil"/>
              <w:right w:val="nil"/>
            </w:tcBorders>
          </w:tcPr>
          <w:p w14:paraId="2AAC9D33" w14:textId="77777777" w:rsidR="00425D09" w:rsidRPr="003145A6" w:rsidRDefault="00425D09" w:rsidP="00437FC9">
            <w:pPr>
              <w:spacing w:line="360" w:lineRule="auto"/>
              <w:rPr>
                <w:rFonts w:eastAsia="Calibri" w:cs="Times New Roman"/>
                <w:sz w:val="24"/>
                <w:szCs w:val="24"/>
              </w:rPr>
            </w:pPr>
          </w:p>
        </w:tc>
      </w:tr>
      <w:tr w:rsidR="00425D09" w:rsidRPr="003145A6" w14:paraId="551A4C6A" w14:textId="77777777" w:rsidTr="00590E71">
        <w:trPr>
          <w:trHeight w:val="162"/>
        </w:trPr>
        <w:tc>
          <w:tcPr>
            <w:tcW w:w="2358" w:type="dxa"/>
            <w:vMerge/>
          </w:tcPr>
          <w:p w14:paraId="1ED851D1" w14:textId="77777777" w:rsidR="00425D09" w:rsidRPr="003145A6" w:rsidRDefault="00425D09" w:rsidP="00437FC9">
            <w:pPr>
              <w:spacing w:line="360" w:lineRule="auto"/>
              <w:rPr>
                <w:rFonts w:eastAsiaTheme="minorEastAsia"/>
                <w:sz w:val="24"/>
                <w:szCs w:val="24"/>
              </w:rPr>
            </w:pPr>
          </w:p>
        </w:tc>
        <w:tc>
          <w:tcPr>
            <w:tcW w:w="2438" w:type="dxa"/>
          </w:tcPr>
          <w:p w14:paraId="6BC789ED" w14:textId="30AC641B" w:rsidR="00425D09" w:rsidRPr="003145A6" w:rsidRDefault="00851398" w:rsidP="00437FC9">
            <w:pPr>
              <w:spacing w:line="360" w:lineRule="auto"/>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i</m:t>
                    </m:r>
                  </m:sub>
                </m:sSub>
              </m:oMath>
            </m:oMathPara>
          </w:p>
        </w:tc>
        <w:tc>
          <w:tcPr>
            <w:tcW w:w="2346" w:type="dxa"/>
            <w:tcBorders>
              <w:top w:val="nil"/>
              <w:right w:val="nil"/>
            </w:tcBorders>
          </w:tcPr>
          <w:p w14:paraId="6103427B" w14:textId="77777777" w:rsidR="00425D09" w:rsidRPr="003145A6" w:rsidRDefault="00425D09" w:rsidP="00437FC9">
            <w:pPr>
              <w:spacing w:line="360" w:lineRule="auto"/>
              <w:jc w:val="center"/>
              <w:rPr>
                <w:rFonts w:eastAsia="Calibri" w:cs="Times New Roman"/>
                <w:sz w:val="24"/>
                <w:szCs w:val="24"/>
              </w:rPr>
            </w:pPr>
            <w:r w:rsidRPr="003145A6">
              <w:rPr>
                <w:rFonts w:eastAsia="Calibri" w:cs="Times New Roman"/>
                <w:sz w:val="24"/>
                <w:szCs w:val="24"/>
              </w:rPr>
              <w:t>(1)</w:t>
            </w:r>
          </w:p>
        </w:tc>
      </w:tr>
      <w:tr w:rsidR="0069181D" w:rsidRPr="003145A6" w14:paraId="3A3A74AD" w14:textId="77777777" w:rsidTr="00590E71">
        <w:trPr>
          <w:trHeight w:val="351"/>
        </w:trPr>
        <w:tc>
          <w:tcPr>
            <w:tcW w:w="2358" w:type="dxa"/>
          </w:tcPr>
          <w:p w14:paraId="6CF24F47" w14:textId="77777777" w:rsidR="0069181D" w:rsidRPr="003145A6" w:rsidRDefault="00851398" w:rsidP="00437FC9">
            <w:pPr>
              <w:spacing w:line="360" w:lineRule="auto"/>
              <w:rPr>
                <w:rFonts w:eastAsiaTheme="minorEastAsia"/>
                <w:sz w:val="24"/>
                <w:szCs w:val="24"/>
              </w:rPr>
            </w:pPr>
            <m:oMathPara>
              <m:oMath>
                <m:nary>
                  <m:naryPr>
                    <m:chr m:val="∑"/>
                    <m:limLoc m:val="undOvr"/>
                    <m:supHide m:val="1"/>
                    <m:ctrlPr>
                      <w:rPr>
                        <w:rFonts w:ascii="Cambria Math" w:eastAsiaTheme="minorEastAsia" w:hAnsi="Cambria Math"/>
                        <w:i/>
                        <w:sz w:val="24"/>
                        <w:szCs w:val="24"/>
                      </w:rPr>
                    </m:ctrlPr>
                  </m:naryPr>
                  <m:sub>
                    <m:r>
                      <w:rPr>
                        <w:rFonts w:ascii="Cambria Math" w:eastAsiaTheme="minorEastAsia" w:hAnsi="Cambria Math"/>
                        <w:sz w:val="24"/>
                        <w:szCs w:val="24"/>
                      </w:rPr>
                      <m:t>j</m:t>
                    </m:r>
                  </m:sub>
                  <m:sup/>
                  <m:e>
                    <m:sSub>
                      <m:sSubPr>
                        <m:ctrlPr>
                          <w:rPr>
                            <w:rFonts w:ascii="Cambria Math" w:eastAsiaTheme="minorEastAsia" w:hAnsi="Cambria Math"/>
                            <w:i/>
                            <w:sz w:val="24"/>
                            <w:szCs w:val="24"/>
                          </w:rPr>
                        </m:ctrlPr>
                      </m:sSubPr>
                      <m:e>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j</m:t>
                            </m:r>
                          </m:sub>
                        </m:sSub>
                        <m:r>
                          <w:rPr>
                            <w:rFonts w:ascii="Cambria Math" w:eastAsiaTheme="minorEastAsia" w:hAnsi="Cambria Math"/>
                            <w:sz w:val="24"/>
                            <w:szCs w:val="24"/>
                          </w:rPr>
                          <m:t>π</m:t>
                        </m:r>
                      </m:e>
                      <m:sub>
                        <m:r>
                          <w:rPr>
                            <w:rFonts w:ascii="Cambria Math" w:eastAsiaTheme="minorEastAsia" w:hAnsi="Cambria Math"/>
                            <w:sz w:val="24"/>
                            <w:szCs w:val="24"/>
                          </w:rPr>
                          <m:t>i,j</m:t>
                        </m:r>
                      </m:sub>
                    </m:sSub>
                  </m:e>
                </m:nary>
              </m:oMath>
            </m:oMathPara>
          </w:p>
        </w:tc>
        <w:tc>
          <w:tcPr>
            <w:tcW w:w="2438" w:type="dxa"/>
          </w:tcPr>
          <w:p w14:paraId="26D84FA7" w14:textId="77777777" w:rsidR="0069181D" w:rsidRPr="003145A6" w:rsidRDefault="00851398" w:rsidP="00437FC9">
            <w:pPr>
              <w:spacing w:line="360" w:lineRule="auto"/>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i</m:t>
                    </m:r>
                  </m:sub>
                </m:sSub>
              </m:oMath>
            </m:oMathPara>
          </w:p>
        </w:tc>
        <w:tc>
          <w:tcPr>
            <w:tcW w:w="2346" w:type="dxa"/>
            <w:tcBorders>
              <w:bottom w:val="nil"/>
              <w:right w:val="nil"/>
            </w:tcBorders>
          </w:tcPr>
          <w:p w14:paraId="5374930E" w14:textId="77777777" w:rsidR="0069181D" w:rsidRPr="003145A6" w:rsidRDefault="0069181D" w:rsidP="00437FC9">
            <w:pPr>
              <w:spacing w:line="360" w:lineRule="auto"/>
              <w:rPr>
                <w:rFonts w:eastAsia="Calibri" w:cs="Times New Roman"/>
                <w:sz w:val="24"/>
                <w:szCs w:val="24"/>
              </w:rPr>
            </w:pPr>
          </w:p>
        </w:tc>
      </w:tr>
    </w:tbl>
    <w:p w14:paraId="6F9ADC99" w14:textId="77777777" w:rsidR="0069181D" w:rsidRPr="003145A6" w:rsidRDefault="0069181D" w:rsidP="0069181D">
      <w:pPr>
        <w:spacing w:line="480" w:lineRule="auto"/>
        <w:rPr>
          <w:rFonts w:eastAsiaTheme="minorEastAsia"/>
          <w:sz w:val="24"/>
          <w:szCs w:val="24"/>
        </w:rPr>
      </w:pPr>
    </w:p>
    <w:p w14:paraId="230DCBED" w14:textId="77777777" w:rsidR="0069181D" w:rsidRPr="003145A6" w:rsidRDefault="0069181D" w:rsidP="0069181D">
      <w:pPr>
        <w:spacing w:line="480" w:lineRule="auto"/>
        <w:rPr>
          <w:rFonts w:eastAsiaTheme="minorEastAsia"/>
          <w:sz w:val="24"/>
          <w:szCs w:val="24"/>
        </w:rPr>
      </w:pPr>
      <w:r w:rsidRPr="003145A6">
        <w:rPr>
          <w:rFonts w:eastAsiaTheme="minorEastAsia"/>
          <w:sz w:val="24"/>
          <w:szCs w:val="24"/>
        </w:rPr>
        <w:t xml:space="preserve">and bank </w:t>
      </w:r>
      <w:r w:rsidRPr="003145A6">
        <w:rPr>
          <w:rFonts w:eastAsiaTheme="minorEastAsia"/>
          <w:i/>
          <w:sz w:val="24"/>
          <w:szCs w:val="24"/>
        </w:rPr>
        <w:t>i</w:t>
      </w:r>
      <w:r w:rsidRPr="003145A6">
        <w:rPr>
          <w:rFonts w:eastAsiaTheme="minorEastAsia"/>
          <w:sz w:val="24"/>
          <w:szCs w:val="24"/>
        </w:rPr>
        <w:t xml:space="preserve">’s balance sheet identity is </w:t>
      </w:r>
    </w:p>
    <w:p w14:paraId="6354FDC4" w14:textId="77777777" w:rsidR="0069181D" w:rsidRPr="003145A6" w:rsidRDefault="00851398" w:rsidP="0069181D">
      <w:pPr>
        <w:spacing w:line="480" w:lineRule="auto"/>
        <w:rPr>
          <w:rFonts w:eastAsiaTheme="minorEastAsia"/>
          <w:sz w:val="24"/>
          <w:szCs w:val="24"/>
        </w:rPr>
      </w:pPr>
      <m:oMathPara>
        <m:oMath>
          <m:nary>
            <m:naryPr>
              <m:chr m:val="∑"/>
              <m:limLoc m:val="undOvr"/>
              <m:supHide m:val="1"/>
              <m:ctrlPr>
                <w:rPr>
                  <w:rFonts w:ascii="Cambria Math" w:eastAsiaTheme="minorEastAsia" w:hAnsi="Cambria Math"/>
                  <w:i/>
                  <w:sz w:val="24"/>
                  <w:szCs w:val="24"/>
                </w:rPr>
              </m:ctrlPr>
            </m:naryPr>
            <m:sub>
              <m:r>
                <w:rPr>
                  <w:rFonts w:ascii="Cambria Math" w:eastAsiaTheme="minorEastAsia" w:hAnsi="Cambria Math"/>
                  <w:sz w:val="24"/>
                  <w:szCs w:val="24"/>
                </w:rPr>
                <m:t>k</m:t>
              </m:r>
            </m:sub>
            <m:sup/>
            <m:e>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i,k</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i,k</m:t>
                  </m:r>
                </m:sub>
              </m:sSub>
            </m:e>
          </m:nary>
          <m:r>
            <w:rPr>
              <w:rFonts w:ascii="Cambria Math" w:eastAsiaTheme="minorEastAsia" w:hAnsi="Cambria Math"/>
              <w:sz w:val="24"/>
              <w:szCs w:val="24"/>
            </w:rPr>
            <m:t>+</m:t>
          </m:r>
          <m:nary>
            <m:naryPr>
              <m:chr m:val="∑"/>
              <m:limLoc m:val="undOvr"/>
              <m:supHide m:val="1"/>
              <m:ctrlPr>
                <w:rPr>
                  <w:rFonts w:ascii="Cambria Math" w:eastAsiaTheme="minorEastAsia" w:hAnsi="Cambria Math"/>
                  <w:i/>
                  <w:sz w:val="24"/>
                  <w:szCs w:val="24"/>
                </w:rPr>
              </m:ctrlPr>
            </m:naryPr>
            <m:sub>
              <m:r>
                <w:rPr>
                  <w:rFonts w:ascii="Cambria Math" w:eastAsiaTheme="minorEastAsia" w:hAnsi="Cambria Math"/>
                  <w:sz w:val="24"/>
                  <w:szCs w:val="24"/>
                </w:rPr>
                <m:t>j</m:t>
              </m:r>
            </m:sub>
            <m:sup/>
            <m:e>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j</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π</m:t>
                  </m:r>
                </m:e>
                <m:sub>
                  <m:r>
                    <w:rPr>
                      <w:rFonts w:ascii="Cambria Math" w:eastAsiaTheme="minorEastAsia" w:hAnsi="Cambria Math"/>
                      <w:sz w:val="24"/>
                      <w:szCs w:val="24"/>
                    </w:rPr>
                    <m:t>i,j</m:t>
                  </m:r>
                </m:sub>
              </m:sSub>
            </m:e>
          </m:nary>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i</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i</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i</m:t>
              </m:r>
            </m:sub>
          </m:sSub>
          <m:r>
            <m:rPr>
              <m:nor/>
            </m:rPr>
            <w:rPr>
              <w:rFonts w:ascii="Cambria Math" w:eastAsiaTheme="minorEastAsia" w:hAnsi="Cambria Math"/>
              <w:sz w:val="24"/>
              <w:szCs w:val="24"/>
            </w:rPr>
            <m:t xml:space="preserve">                  (2)</m:t>
          </m:r>
        </m:oMath>
      </m:oMathPara>
    </w:p>
    <w:p w14:paraId="4E982AA9" w14:textId="3AEFCD40" w:rsidR="0069181D" w:rsidRPr="003145A6" w:rsidRDefault="0069181D" w:rsidP="0069181D">
      <w:pPr>
        <w:spacing w:line="480" w:lineRule="auto"/>
        <w:rPr>
          <w:rFonts w:eastAsiaTheme="minorEastAsia"/>
          <w:sz w:val="24"/>
          <w:szCs w:val="24"/>
        </w:rPr>
      </w:pPr>
      <w:r w:rsidRPr="003145A6">
        <w:rPr>
          <w:rFonts w:eastAsiaTheme="minorEastAsia"/>
          <w:sz w:val="24"/>
          <w:szCs w:val="24"/>
        </w:rPr>
        <w:lastRenderedPageBreak/>
        <w:t xml:space="preserve">The left hand side is the value of all bank </w:t>
      </w:r>
      <w:r w:rsidRPr="003145A6">
        <w:rPr>
          <w:rFonts w:eastAsiaTheme="minorEastAsia"/>
          <w:i/>
          <w:sz w:val="24"/>
          <w:szCs w:val="24"/>
        </w:rPr>
        <w:t>i</w:t>
      </w:r>
      <w:r w:rsidRPr="003145A6">
        <w:rPr>
          <w:rFonts w:eastAsiaTheme="minorEastAsia"/>
          <w:sz w:val="24"/>
          <w:szCs w:val="24"/>
        </w:rPr>
        <w:t xml:space="preserve">’s assets which is equal to the market value of bank </w:t>
      </w:r>
      <w:r w:rsidRPr="003145A6">
        <w:rPr>
          <w:rFonts w:eastAsiaTheme="minorEastAsia"/>
          <w:i/>
          <w:sz w:val="24"/>
          <w:szCs w:val="24"/>
        </w:rPr>
        <w:t>i</w:t>
      </w:r>
      <w:r w:rsidRPr="003145A6">
        <w:rPr>
          <w:rFonts w:eastAsiaTheme="minorEastAsia"/>
          <w:sz w:val="24"/>
          <w:szCs w:val="24"/>
        </w:rPr>
        <w:t xml:space="preserve">’s portfolio, first term, and to the funds </w:t>
      </w:r>
      <w:r w:rsidR="00425D09">
        <w:rPr>
          <w:rFonts w:eastAsiaTheme="minorEastAsia"/>
          <w:sz w:val="24"/>
          <w:szCs w:val="24"/>
        </w:rPr>
        <w:t xml:space="preserve">lent </w:t>
      </w:r>
      <w:r w:rsidRPr="003145A6">
        <w:rPr>
          <w:rFonts w:eastAsiaTheme="minorEastAsia"/>
          <w:sz w:val="24"/>
          <w:szCs w:val="24"/>
        </w:rPr>
        <w:t xml:space="preserve">by bank </w:t>
      </w:r>
      <w:r w:rsidRPr="003145A6">
        <w:rPr>
          <w:rFonts w:eastAsiaTheme="minorEastAsia"/>
          <w:i/>
          <w:sz w:val="24"/>
          <w:szCs w:val="24"/>
        </w:rPr>
        <w:t>i</w:t>
      </w:r>
      <w:r w:rsidRPr="003145A6">
        <w:rPr>
          <w:rFonts w:eastAsiaTheme="minorEastAsia"/>
          <w:sz w:val="24"/>
          <w:szCs w:val="24"/>
        </w:rPr>
        <w:t xml:space="preserve"> to other banks (interbank lending), second term.</w:t>
      </w:r>
      <w:r w:rsidRPr="003145A6">
        <w:rPr>
          <w:rStyle w:val="FootnoteReference"/>
          <w:rFonts w:eastAsiaTheme="minorEastAsia"/>
          <w:sz w:val="24"/>
          <w:szCs w:val="24"/>
        </w:rPr>
        <w:footnoteReference w:id="6"/>
      </w:r>
    </w:p>
    <w:p w14:paraId="3EA962CC" w14:textId="77777777" w:rsidR="0069181D" w:rsidRPr="003145A6" w:rsidRDefault="0069181D" w:rsidP="0085633E">
      <w:pPr>
        <w:spacing w:line="480" w:lineRule="auto"/>
        <w:ind w:firstLine="720"/>
        <w:rPr>
          <w:rFonts w:eastAsiaTheme="minorEastAsia"/>
          <w:sz w:val="24"/>
          <w:szCs w:val="24"/>
        </w:rPr>
      </w:pPr>
      <w:r w:rsidRPr="003145A6">
        <w:rPr>
          <w:rFonts w:eastAsiaTheme="minorEastAsia"/>
          <w:sz w:val="24"/>
          <w:szCs w:val="24"/>
        </w:rPr>
        <w:t>From equation (2) we can express the vector of interbank debt as follows</w:t>
      </w:r>
    </w:p>
    <w:p w14:paraId="033FF7F1" w14:textId="77777777" w:rsidR="0069181D" w:rsidRPr="003145A6" w:rsidRDefault="0069181D" w:rsidP="0069181D">
      <w:pPr>
        <w:spacing w:line="480" w:lineRule="auto"/>
        <w:rPr>
          <w:rFonts w:eastAsiaTheme="minorEastAsia"/>
          <w:sz w:val="24"/>
          <w:szCs w:val="24"/>
        </w:rPr>
      </w:pPr>
      <m:oMathPara>
        <m:oMath>
          <m:r>
            <m:rPr>
              <m:sty m:val="bi"/>
            </m:rPr>
            <w:rPr>
              <w:rFonts w:ascii="Cambria Math" w:eastAsiaTheme="minorEastAsia" w:hAnsi="Cambria Math"/>
              <w:sz w:val="24"/>
              <w:szCs w:val="24"/>
            </w:rPr>
            <m:t>X</m:t>
          </m:r>
          <m:r>
            <w:rPr>
              <w:rFonts w:ascii="Cambria Math" w:eastAsiaTheme="minorEastAsia" w:hAnsi="Cambria Math"/>
              <w:sz w:val="24"/>
              <w:szCs w:val="24"/>
            </w:rPr>
            <m:t>=</m:t>
          </m:r>
          <m:r>
            <m:rPr>
              <m:sty m:val="b"/>
            </m:rPr>
            <w:rPr>
              <w:rFonts w:ascii="Cambria Math" w:eastAsiaTheme="minorEastAsia" w:hAnsi="Cambria Math"/>
              <w:sz w:val="24"/>
              <w:szCs w:val="24"/>
            </w:rPr>
            <m:t>Π</m:t>
          </m:r>
          <m:r>
            <m:rPr>
              <m:sty m:val="bi"/>
            </m:rPr>
            <w:rPr>
              <w:rFonts w:ascii="Cambria Math" w:eastAsiaTheme="minorEastAsia" w:hAnsi="Cambria Math"/>
              <w:sz w:val="24"/>
              <w:szCs w:val="24"/>
            </w:rPr>
            <m:t>X</m:t>
          </m:r>
          <m:r>
            <w:rPr>
              <w:rFonts w:ascii="Cambria Math" w:eastAsiaTheme="minorEastAsia" w:hAnsi="Cambria Math"/>
              <w:sz w:val="24"/>
              <w:szCs w:val="24"/>
            </w:rPr>
            <m:t>+</m:t>
          </m:r>
          <m:r>
            <m:rPr>
              <m:sty m:val="bi"/>
            </m:rPr>
            <w:rPr>
              <w:rFonts w:ascii="Cambria Math" w:eastAsiaTheme="minorEastAsia" w:hAnsi="Cambria Math"/>
              <w:sz w:val="24"/>
              <w:szCs w:val="24"/>
            </w:rPr>
            <m:t>WY</m:t>
          </m:r>
          <m:r>
            <w:rPr>
              <w:rFonts w:ascii="Cambria Math" w:eastAsiaTheme="minorEastAsia" w:hAnsi="Cambria Math"/>
              <w:sz w:val="24"/>
              <w:szCs w:val="24"/>
            </w:rPr>
            <m:t>-</m:t>
          </m:r>
          <m:r>
            <m:rPr>
              <m:sty m:val="bi"/>
            </m:rPr>
            <w:rPr>
              <w:rFonts w:ascii="Cambria Math" w:eastAsiaTheme="minorEastAsia" w:hAnsi="Cambria Math"/>
              <w:sz w:val="24"/>
              <w:szCs w:val="24"/>
            </w:rPr>
            <m:t>E</m:t>
          </m:r>
          <m:r>
            <w:rPr>
              <w:rFonts w:ascii="Cambria Math" w:eastAsiaTheme="minorEastAsia" w:hAnsi="Cambria Math"/>
              <w:sz w:val="24"/>
              <w:szCs w:val="24"/>
            </w:rPr>
            <m:t>-</m:t>
          </m:r>
          <m:r>
            <m:rPr>
              <m:sty m:val="bi"/>
            </m:rPr>
            <w:rPr>
              <w:rFonts w:ascii="Cambria Math" w:eastAsiaTheme="minorEastAsia" w:hAnsi="Cambria Math"/>
              <w:sz w:val="24"/>
              <w:szCs w:val="24"/>
            </w:rPr>
            <m:t>D</m:t>
          </m:r>
          <m:r>
            <m:rPr>
              <m:nor/>
            </m:rPr>
            <w:rPr>
              <w:rFonts w:ascii="Cambria Math" w:eastAsiaTheme="minorEastAsia" w:hAnsi="Cambria Math"/>
              <w:b/>
              <w:sz w:val="24"/>
              <w:szCs w:val="24"/>
            </w:rPr>
            <m:t xml:space="preserve">                </m:t>
          </m:r>
          <m:r>
            <m:rPr>
              <m:nor/>
            </m:rPr>
            <w:rPr>
              <w:rFonts w:ascii="Cambria Math" w:eastAsiaTheme="minorEastAsia" w:hAnsi="Cambria Math"/>
              <w:sz w:val="24"/>
              <w:szCs w:val="24"/>
            </w:rPr>
            <m:t>(3)</m:t>
          </m:r>
        </m:oMath>
      </m:oMathPara>
    </w:p>
    <w:p w14:paraId="48178522" w14:textId="77777777" w:rsidR="0069181D" w:rsidRPr="003145A6" w:rsidRDefault="0069181D" w:rsidP="0069181D">
      <w:pPr>
        <w:spacing w:line="480" w:lineRule="auto"/>
        <w:rPr>
          <w:rFonts w:eastAsiaTheme="minorEastAsia"/>
          <w:sz w:val="24"/>
          <w:szCs w:val="24"/>
        </w:rPr>
      </w:pPr>
      <w:r w:rsidRPr="003145A6">
        <w:rPr>
          <w:rFonts w:eastAsiaTheme="minorEastAsia"/>
          <w:sz w:val="24"/>
          <w:szCs w:val="24"/>
        </w:rPr>
        <w:t>and</w:t>
      </w:r>
    </w:p>
    <w:p w14:paraId="495B461D" w14:textId="77777777" w:rsidR="0069181D" w:rsidRPr="003145A6" w:rsidRDefault="00851398" w:rsidP="0069181D">
      <w:pPr>
        <w:spacing w:line="480" w:lineRule="auto"/>
        <w:rPr>
          <w:rFonts w:eastAsiaTheme="minorEastAsia"/>
          <w:sz w:val="24"/>
          <w:szCs w:val="24"/>
        </w:rPr>
      </w:pPr>
      <m:oMathPara>
        <m:oMath>
          <m:d>
            <m:dPr>
              <m:ctrlPr>
                <w:rPr>
                  <w:rFonts w:ascii="Cambria Math" w:eastAsiaTheme="minorEastAsia" w:hAnsi="Cambria Math"/>
                  <w:b/>
                  <w:i/>
                  <w:sz w:val="24"/>
                  <w:szCs w:val="24"/>
                </w:rPr>
              </m:ctrlPr>
            </m:dPr>
            <m:e>
              <m:r>
                <m:rPr>
                  <m:sty m:val="b"/>
                </m:rPr>
                <w:rPr>
                  <w:rFonts w:ascii="Cambria Math" w:eastAsiaTheme="minorEastAsia" w:hAnsi="Cambria Math"/>
                  <w:sz w:val="24"/>
                  <w:szCs w:val="24"/>
                </w:rPr>
                <m:t>I-Π</m:t>
              </m:r>
            </m:e>
          </m:d>
          <m:r>
            <m:rPr>
              <m:sty m:val="bi"/>
            </m:rPr>
            <w:rPr>
              <w:rFonts w:ascii="Cambria Math" w:eastAsiaTheme="minorEastAsia" w:hAnsi="Cambria Math"/>
              <w:sz w:val="24"/>
              <w:szCs w:val="24"/>
            </w:rPr>
            <m:t>X</m:t>
          </m:r>
          <m:r>
            <w:rPr>
              <w:rFonts w:ascii="Cambria Math" w:eastAsiaTheme="minorEastAsia" w:hAnsi="Cambria Math"/>
              <w:sz w:val="24"/>
              <w:szCs w:val="24"/>
            </w:rPr>
            <m:t>=</m:t>
          </m:r>
          <m:r>
            <m:rPr>
              <m:sty m:val="bi"/>
            </m:rPr>
            <w:rPr>
              <w:rFonts w:ascii="Cambria Math" w:eastAsiaTheme="minorEastAsia" w:hAnsi="Cambria Math"/>
              <w:sz w:val="24"/>
              <w:szCs w:val="24"/>
            </w:rPr>
            <m:t>WY</m:t>
          </m:r>
          <m:r>
            <w:rPr>
              <w:rFonts w:ascii="Cambria Math" w:eastAsiaTheme="minorEastAsia" w:hAnsi="Cambria Math"/>
              <w:sz w:val="24"/>
              <w:szCs w:val="24"/>
            </w:rPr>
            <m:t>-</m:t>
          </m:r>
          <m:r>
            <m:rPr>
              <m:sty m:val="bi"/>
            </m:rPr>
            <w:rPr>
              <w:rFonts w:ascii="Cambria Math" w:eastAsiaTheme="minorEastAsia" w:hAnsi="Cambria Math"/>
              <w:sz w:val="24"/>
              <w:szCs w:val="24"/>
            </w:rPr>
            <m:t>E</m:t>
          </m:r>
          <m:r>
            <w:rPr>
              <w:rFonts w:ascii="Cambria Math" w:eastAsiaTheme="minorEastAsia" w:hAnsi="Cambria Math"/>
              <w:sz w:val="24"/>
              <w:szCs w:val="24"/>
            </w:rPr>
            <m:t>-</m:t>
          </m:r>
          <m:r>
            <m:rPr>
              <m:sty m:val="bi"/>
            </m:rPr>
            <w:rPr>
              <w:rFonts w:ascii="Cambria Math" w:eastAsiaTheme="minorEastAsia" w:hAnsi="Cambria Math"/>
              <w:sz w:val="24"/>
              <w:szCs w:val="24"/>
            </w:rPr>
            <m:t>D</m:t>
          </m:r>
          <m:r>
            <m:rPr>
              <m:nor/>
            </m:rPr>
            <w:rPr>
              <w:rFonts w:ascii="Cambria Math" w:eastAsiaTheme="minorEastAsia" w:hAnsi="Cambria Math"/>
              <w:b/>
              <w:sz w:val="24"/>
              <w:szCs w:val="24"/>
            </w:rPr>
            <m:t xml:space="preserve">                </m:t>
          </m:r>
          <m:r>
            <m:rPr>
              <m:nor/>
            </m:rPr>
            <w:rPr>
              <w:rFonts w:ascii="Cambria Math" w:eastAsiaTheme="minorEastAsia" w:hAnsi="Cambria Math"/>
              <w:sz w:val="24"/>
              <w:szCs w:val="24"/>
            </w:rPr>
            <m:t>(4)</m:t>
          </m:r>
        </m:oMath>
      </m:oMathPara>
    </w:p>
    <w:p w14:paraId="4D9DB26E" w14:textId="581AA79E" w:rsidR="00404235" w:rsidRDefault="0069181D" w:rsidP="00475890">
      <w:pPr>
        <w:spacing w:line="480" w:lineRule="auto"/>
        <w:jc w:val="both"/>
        <w:rPr>
          <w:rFonts w:eastAsiaTheme="minorEastAsia"/>
          <w:sz w:val="24"/>
          <w:szCs w:val="24"/>
        </w:rPr>
      </w:pPr>
      <w:r w:rsidRPr="003145A6">
        <w:rPr>
          <w:rFonts w:eastAsiaTheme="minorEastAsia"/>
          <w:sz w:val="24"/>
          <w:szCs w:val="24"/>
        </w:rPr>
        <w:t>The left hand side is the interbank market which, according to (4), depends on the market value of the portfolio of assets held by banks, the market value of bank equities and the value of bank liabilities held by non-banks. The interbank market is dynamic</w:t>
      </w:r>
      <w:r w:rsidR="006B763E">
        <w:rPr>
          <w:rFonts w:eastAsiaTheme="minorEastAsia"/>
          <w:sz w:val="24"/>
          <w:szCs w:val="24"/>
        </w:rPr>
        <w:t xml:space="preserve">, with </w:t>
      </w:r>
      <w:r w:rsidR="009C1532">
        <w:rPr>
          <w:rFonts w:eastAsiaTheme="minorEastAsia"/>
          <w:sz w:val="24"/>
          <w:szCs w:val="24"/>
        </w:rPr>
        <w:t xml:space="preserve">daily </w:t>
      </w:r>
      <w:r w:rsidR="006B763E">
        <w:rPr>
          <w:rFonts w:eastAsiaTheme="minorEastAsia"/>
          <w:sz w:val="24"/>
          <w:szCs w:val="24"/>
        </w:rPr>
        <w:t xml:space="preserve">trading </w:t>
      </w:r>
      <w:r w:rsidRPr="003145A6">
        <w:rPr>
          <w:rFonts w:eastAsiaTheme="minorEastAsia"/>
          <w:sz w:val="24"/>
          <w:szCs w:val="24"/>
        </w:rPr>
        <w:t xml:space="preserve">(overnight loans represent the </w:t>
      </w:r>
      <w:r w:rsidR="004F6611">
        <w:rPr>
          <w:rFonts w:eastAsiaTheme="minorEastAsia"/>
          <w:sz w:val="24"/>
          <w:szCs w:val="24"/>
        </w:rPr>
        <w:t xml:space="preserve">overwhelming </w:t>
      </w:r>
      <w:r w:rsidRPr="003145A6">
        <w:rPr>
          <w:rFonts w:eastAsiaTheme="minorEastAsia"/>
          <w:sz w:val="24"/>
          <w:szCs w:val="24"/>
        </w:rPr>
        <w:t>majority</w:t>
      </w:r>
      <w:r w:rsidR="00475890">
        <w:rPr>
          <w:rFonts w:eastAsiaTheme="minorEastAsia"/>
          <w:sz w:val="24"/>
          <w:szCs w:val="24"/>
        </w:rPr>
        <w:t>—</w:t>
      </w:r>
      <w:r w:rsidR="004F6611">
        <w:rPr>
          <w:rFonts w:eastAsiaTheme="minorEastAsia"/>
        </w:rPr>
        <w:t>92.3%</w:t>
      </w:r>
      <w:r w:rsidR="00475890">
        <w:rPr>
          <w:rFonts w:eastAsiaTheme="minorEastAsia"/>
          <w:sz w:val="24"/>
          <w:szCs w:val="24"/>
        </w:rPr>
        <w:t>—</w:t>
      </w:r>
      <w:r w:rsidRPr="003145A6">
        <w:rPr>
          <w:rFonts w:eastAsiaTheme="minorEastAsia"/>
          <w:sz w:val="24"/>
          <w:szCs w:val="24"/>
        </w:rPr>
        <w:t>of contracts</w:t>
      </w:r>
      <w:r w:rsidR="004F6611">
        <w:rPr>
          <w:rFonts w:eastAsiaTheme="minorEastAsia"/>
          <w:sz w:val="24"/>
          <w:szCs w:val="24"/>
        </w:rPr>
        <w:t xml:space="preserve"> </w:t>
      </w:r>
      <w:r w:rsidRPr="003145A6">
        <w:rPr>
          <w:rFonts w:eastAsiaTheme="minorEastAsia"/>
          <w:sz w:val="24"/>
          <w:szCs w:val="24"/>
        </w:rPr>
        <w:t>in e</w:t>
      </w:r>
      <w:r w:rsidR="004B39A4">
        <w:rPr>
          <w:rFonts w:eastAsiaTheme="minorEastAsia"/>
          <w:sz w:val="24"/>
          <w:szCs w:val="24"/>
        </w:rPr>
        <w:t>-</w:t>
      </w:r>
      <w:r w:rsidRPr="003145A6">
        <w:rPr>
          <w:rFonts w:eastAsiaTheme="minorEastAsia"/>
          <w:sz w:val="24"/>
          <w:szCs w:val="24"/>
        </w:rPr>
        <w:t>Mid) in response to their funding needs</w:t>
      </w:r>
      <w:r w:rsidR="009C1532">
        <w:rPr>
          <w:rFonts w:eastAsiaTheme="minorEastAsia"/>
          <w:sz w:val="24"/>
          <w:szCs w:val="24"/>
        </w:rPr>
        <w:t xml:space="preserve"> (commonly lin</w:t>
      </w:r>
      <w:r w:rsidRPr="003145A6">
        <w:rPr>
          <w:rFonts w:eastAsiaTheme="minorEastAsia"/>
          <w:sz w:val="24"/>
          <w:szCs w:val="24"/>
        </w:rPr>
        <w:t>ked to minimum reserve</w:t>
      </w:r>
      <w:r w:rsidR="00404235">
        <w:rPr>
          <w:rFonts w:eastAsiaTheme="minorEastAsia"/>
          <w:sz w:val="24"/>
          <w:szCs w:val="24"/>
        </w:rPr>
        <w:t xml:space="preserve"> requirements</w:t>
      </w:r>
      <w:r w:rsidRPr="003145A6">
        <w:rPr>
          <w:rFonts w:eastAsiaTheme="minorEastAsia"/>
          <w:sz w:val="24"/>
          <w:szCs w:val="24"/>
        </w:rPr>
        <w:t>, margin calls</w:t>
      </w:r>
      <w:r w:rsidR="009C1532">
        <w:rPr>
          <w:rFonts w:eastAsiaTheme="minorEastAsia"/>
          <w:sz w:val="24"/>
          <w:szCs w:val="24"/>
        </w:rPr>
        <w:t xml:space="preserve">, </w:t>
      </w:r>
      <w:r w:rsidR="00CC6E01">
        <w:rPr>
          <w:rFonts w:eastAsiaTheme="minorEastAsia"/>
          <w:sz w:val="24"/>
          <w:szCs w:val="24"/>
        </w:rPr>
        <w:t xml:space="preserve">or </w:t>
      </w:r>
      <w:r w:rsidRPr="003145A6">
        <w:rPr>
          <w:rFonts w:eastAsiaTheme="minorEastAsia"/>
          <w:sz w:val="24"/>
          <w:szCs w:val="24"/>
        </w:rPr>
        <w:t>shortage</w:t>
      </w:r>
      <w:r w:rsidR="00CC6E01">
        <w:rPr>
          <w:rFonts w:eastAsiaTheme="minorEastAsia"/>
          <w:sz w:val="24"/>
          <w:szCs w:val="24"/>
        </w:rPr>
        <w:t xml:space="preserve">s needed </w:t>
      </w:r>
      <w:r w:rsidRPr="003145A6">
        <w:rPr>
          <w:rFonts w:eastAsiaTheme="minorEastAsia"/>
          <w:sz w:val="24"/>
          <w:szCs w:val="24"/>
        </w:rPr>
        <w:t>to fulfill contract</w:t>
      </w:r>
      <w:r w:rsidR="00CC6E01">
        <w:rPr>
          <w:rFonts w:eastAsiaTheme="minorEastAsia"/>
          <w:sz w:val="24"/>
          <w:szCs w:val="24"/>
        </w:rPr>
        <w:t>ual</w:t>
      </w:r>
      <w:r w:rsidRPr="003145A6">
        <w:rPr>
          <w:rFonts w:eastAsiaTheme="minorEastAsia"/>
          <w:sz w:val="24"/>
          <w:szCs w:val="24"/>
        </w:rPr>
        <w:t xml:space="preserve"> obligations</w:t>
      </w:r>
      <w:r w:rsidR="00CC6E01">
        <w:rPr>
          <w:rFonts w:eastAsiaTheme="minorEastAsia"/>
          <w:sz w:val="24"/>
          <w:szCs w:val="24"/>
        </w:rPr>
        <w:t xml:space="preserve">, </w:t>
      </w:r>
      <w:r w:rsidR="009C1532">
        <w:rPr>
          <w:rFonts w:eastAsiaTheme="minorEastAsia"/>
          <w:sz w:val="24"/>
          <w:szCs w:val="24"/>
        </w:rPr>
        <w:t xml:space="preserve">represented by </w:t>
      </w:r>
      <w:r w:rsidRPr="003145A6">
        <w:rPr>
          <w:rFonts w:eastAsiaTheme="minorEastAsia"/>
          <w:sz w:val="24"/>
          <w:szCs w:val="24"/>
        </w:rPr>
        <w:t xml:space="preserve">the first term of the </w:t>
      </w:r>
      <w:r w:rsidR="00EC68E2">
        <w:rPr>
          <w:rFonts w:eastAsiaTheme="minorEastAsia"/>
          <w:sz w:val="24"/>
          <w:szCs w:val="24"/>
        </w:rPr>
        <w:t>right</w:t>
      </w:r>
      <w:r w:rsidR="00EC68E2" w:rsidRPr="003145A6">
        <w:rPr>
          <w:rFonts w:eastAsiaTheme="minorEastAsia"/>
          <w:sz w:val="24"/>
          <w:szCs w:val="24"/>
        </w:rPr>
        <w:t xml:space="preserve"> </w:t>
      </w:r>
      <w:r w:rsidRPr="003145A6">
        <w:rPr>
          <w:rFonts w:eastAsiaTheme="minorEastAsia"/>
          <w:sz w:val="24"/>
          <w:szCs w:val="24"/>
        </w:rPr>
        <w:t>hand side of (4)</w:t>
      </w:r>
      <w:r w:rsidR="009C1532">
        <w:rPr>
          <w:rFonts w:eastAsiaTheme="minorEastAsia"/>
          <w:sz w:val="24"/>
          <w:szCs w:val="24"/>
        </w:rPr>
        <w:t>)</w:t>
      </w:r>
      <w:r w:rsidRPr="003145A6">
        <w:rPr>
          <w:rFonts w:eastAsiaTheme="minorEastAsia"/>
          <w:sz w:val="24"/>
          <w:szCs w:val="24"/>
        </w:rPr>
        <w:t xml:space="preserve">. </w:t>
      </w:r>
      <w:r w:rsidR="009C1532">
        <w:rPr>
          <w:rFonts w:eastAsiaTheme="minorEastAsia"/>
          <w:sz w:val="24"/>
          <w:szCs w:val="24"/>
        </w:rPr>
        <w:t>B</w:t>
      </w:r>
      <w:r w:rsidR="006B763E" w:rsidRPr="003145A6">
        <w:rPr>
          <w:rFonts w:eastAsiaTheme="minorEastAsia"/>
          <w:sz w:val="24"/>
          <w:szCs w:val="24"/>
        </w:rPr>
        <w:t>ank equit</w:t>
      </w:r>
      <w:r w:rsidR="006B763E">
        <w:rPr>
          <w:rFonts w:eastAsiaTheme="minorEastAsia"/>
          <w:sz w:val="24"/>
          <w:szCs w:val="24"/>
        </w:rPr>
        <w:t>y</w:t>
      </w:r>
      <w:r w:rsidR="006B763E" w:rsidRPr="003145A6">
        <w:rPr>
          <w:rFonts w:eastAsiaTheme="minorEastAsia"/>
          <w:sz w:val="24"/>
          <w:szCs w:val="24"/>
        </w:rPr>
        <w:t xml:space="preserve"> (</w:t>
      </w:r>
      <w:r w:rsidR="006B763E" w:rsidRPr="003145A6">
        <w:rPr>
          <w:rFonts w:eastAsiaTheme="minorEastAsia"/>
          <w:b/>
          <w:i/>
          <w:sz w:val="24"/>
          <w:szCs w:val="24"/>
        </w:rPr>
        <w:t>E</w:t>
      </w:r>
      <w:r w:rsidR="006B763E" w:rsidRPr="003145A6">
        <w:rPr>
          <w:rFonts w:eastAsiaTheme="minorEastAsia"/>
          <w:sz w:val="24"/>
          <w:szCs w:val="24"/>
        </w:rPr>
        <w:t xml:space="preserve">) changes over time </w:t>
      </w:r>
      <w:r w:rsidR="006B763E">
        <w:rPr>
          <w:rFonts w:eastAsiaTheme="minorEastAsia"/>
          <w:sz w:val="24"/>
          <w:szCs w:val="24"/>
        </w:rPr>
        <w:t xml:space="preserve">may </w:t>
      </w:r>
      <w:r w:rsidR="009C1532">
        <w:rPr>
          <w:rFonts w:eastAsiaTheme="minorEastAsia"/>
          <w:sz w:val="24"/>
          <w:szCs w:val="24"/>
        </w:rPr>
        <w:t xml:space="preserve">also </w:t>
      </w:r>
      <w:r w:rsidR="006B763E">
        <w:rPr>
          <w:rFonts w:eastAsiaTheme="minorEastAsia"/>
          <w:sz w:val="24"/>
          <w:szCs w:val="24"/>
        </w:rPr>
        <w:t>drive</w:t>
      </w:r>
      <w:r w:rsidR="006B763E" w:rsidRPr="003145A6">
        <w:rPr>
          <w:rFonts w:eastAsiaTheme="minorEastAsia"/>
          <w:sz w:val="24"/>
          <w:szCs w:val="24"/>
        </w:rPr>
        <w:t xml:space="preserve"> interbank lending </w:t>
      </w:r>
      <w:r w:rsidR="006B763E">
        <w:rPr>
          <w:rFonts w:eastAsiaTheme="minorEastAsia"/>
          <w:sz w:val="24"/>
          <w:szCs w:val="24"/>
        </w:rPr>
        <w:t xml:space="preserve">through </w:t>
      </w:r>
      <w:r w:rsidRPr="003145A6">
        <w:rPr>
          <w:rFonts w:eastAsiaTheme="minorEastAsia"/>
          <w:sz w:val="24"/>
          <w:szCs w:val="24"/>
        </w:rPr>
        <w:t xml:space="preserve">the second term </w:t>
      </w:r>
      <w:r w:rsidR="00CC6E01">
        <w:rPr>
          <w:rFonts w:eastAsiaTheme="minorEastAsia"/>
          <w:sz w:val="24"/>
          <w:szCs w:val="24"/>
        </w:rPr>
        <w:t xml:space="preserve">on the right hand side of </w:t>
      </w:r>
      <w:r w:rsidRPr="003145A6">
        <w:rPr>
          <w:rFonts w:eastAsiaTheme="minorEastAsia"/>
          <w:sz w:val="24"/>
          <w:szCs w:val="24"/>
        </w:rPr>
        <w:t xml:space="preserve">(4). </w:t>
      </w:r>
    </w:p>
    <w:p w14:paraId="35D31561" w14:textId="758749B1" w:rsidR="0069181D" w:rsidRPr="003145A6" w:rsidRDefault="0069181D" w:rsidP="00475890">
      <w:pPr>
        <w:spacing w:line="480" w:lineRule="auto"/>
        <w:ind w:firstLine="720"/>
        <w:jc w:val="both"/>
        <w:rPr>
          <w:rFonts w:eastAsiaTheme="minorEastAsia"/>
          <w:sz w:val="24"/>
          <w:szCs w:val="24"/>
        </w:rPr>
      </w:pPr>
      <w:r w:rsidRPr="003145A6">
        <w:rPr>
          <w:rFonts w:eastAsiaTheme="minorEastAsia"/>
          <w:sz w:val="24"/>
          <w:szCs w:val="24"/>
        </w:rPr>
        <w:t>Following Shin (2009a), we assume that the debt liabilities to non-ba</w:t>
      </w:r>
      <w:r w:rsidR="004F6D4F">
        <w:rPr>
          <w:rFonts w:eastAsiaTheme="minorEastAsia"/>
          <w:sz w:val="24"/>
          <w:szCs w:val="24"/>
        </w:rPr>
        <w:t>nks are expected to be sticky—</w:t>
      </w:r>
      <w:r w:rsidRPr="003145A6">
        <w:rPr>
          <w:rFonts w:eastAsiaTheme="minorEastAsia"/>
          <w:sz w:val="24"/>
          <w:szCs w:val="24"/>
        </w:rPr>
        <w:t xml:space="preserve">i.e. </w:t>
      </w:r>
      <w:r w:rsidRPr="003145A6">
        <w:rPr>
          <w:rFonts w:eastAsiaTheme="minorEastAsia"/>
          <w:b/>
          <w:i/>
          <w:sz w:val="24"/>
          <w:szCs w:val="24"/>
        </w:rPr>
        <w:t>D</w:t>
      </w:r>
      <w:r w:rsidRPr="003145A6">
        <w:rPr>
          <w:rFonts w:eastAsiaTheme="minorEastAsia"/>
          <w:sz w:val="24"/>
          <w:szCs w:val="24"/>
        </w:rPr>
        <w:t xml:space="preserve"> is will move very slowly. </w:t>
      </w:r>
      <w:r w:rsidRPr="003145A6">
        <w:rPr>
          <w:rFonts w:eastAsiaTheme="minorEastAsia"/>
          <w:b/>
          <w:i/>
          <w:sz w:val="24"/>
          <w:szCs w:val="24"/>
        </w:rPr>
        <w:t>D</w:t>
      </w:r>
      <w:r w:rsidRPr="003145A6">
        <w:rPr>
          <w:rFonts w:eastAsiaTheme="minorEastAsia"/>
          <w:sz w:val="24"/>
          <w:szCs w:val="24"/>
        </w:rPr>
        <w:t xml:space="preserve"> represents debt claims on the banking sector by households, mutual and pension funds and other non-bank institutions</w:t>
      </w:r>
      <w:r w:rsidR="00CC6E01">
        <w:rPr>
          <w:rFonts w:eastAsiaTheme="minorEastAsia"/>
          <w:sz w:val="24"/>
          <w:szCs w:val="24"/>
        </w:rPr>
        <w:t>, so w</w:t>
      </w:r>
      <w:r w:rsidR="00404235">
        <w:rPr>
          <w:rFonts w:eastAsiaTheme="minorEastAsia"/>
          <w:sz w:val="24"/>
          <w:szCs w:val="24"/>
        </w:rPr>
        <w:t xml:space="preserve">hile </w:t>
      </w:r>
      <w:r w:rsidRPr="003145A6">
        <w:rPr>
          <w:rFonts w:eastAsiaTheme="minorEastAsia"/>
          <w:b/>
          <w:i/>
          <w:sz w:val="24"/>
          <w:szCs w:val="24"/>
        </w:rPr>
        <w:t>D</w:t>
      </w:r>
      <w:r w:rsidRPr="003145A6">
        <w:rPr>
          <w:rFonts w:eastAsiaTheme="minorEastAsia"/>
          <w:sz w:val="24"/>
          <w:szCs w:val="24"/>
        </w:rPr>
        <w:t xml:space="preserve"> varies over time</w:t>
      </w:r>
      <w:r w:rsidR="00404235">
        <w:rPr>
          <w:rFonts w:eastAsiaTheme="minorEastAsia"/>
          <w:sz w:val="24"/>
          <w:szCs w:val="24"/>
        </w:rPr>
        <w:t xml:space="preserve">, </w:t>
      </w:r>
      <w:r w:rsidR="00CC6E01">
        <w:rPr>
          <w:rFonts w:eastAsiaTheme="minorEastAsia"/>
          <w:sz w:val="24"/>
          <w:szCs w:val="24"/>
        </w:rPr>
        <w:t xml:space="preserve">changes to </w:t>
      </w:r>
      <w:r w:rsidR="00CC6E01" w:rsidRPr="00475890">
        <w:rPr>
          <w:rFonts w:eastAsiaTheme="minorEastAsia"/>
          <w:i/>
          <w:sz w:val="24"/>
          <w:szCs w:val="24"/>
        </w:rPr>
        <w:t>D</w:t>
      </w:r>
      <w:r w:rsidR="00CC6E01">
        <w:rPr>
          <w:rFonts w:eastAsiaTheme="minorEastAsia"/>
          <w:sz w:val="24"/>
          <w:szCs w:val="24"/>
        </w:rPr>
        <w:t xml:space="preserve"> are less likely to drive interbank lending</w:t>
      </w:r>
      <w:r w:rsidRPr="003145A6">
        <w:rPr>
          <w:rFonts w:eastAsiaTheme="minorEastAsia"/>
          <w:sz w:val="24"/>
          <w:szCs w:val="24"/>
        </w:rPr>
        <w:t>.</w:t>
      </w:r>
    </w:p>
    <w:p w14:paraId="7DE807E5" w14:textId="601FDC40" w:rsidR="0069181D" w:rsidRPr="003145A6" w:rsidRDefault="00404235" w:rsidP="00475890">
      <w:pPr>
        <w:spacing w:line="480" w:lineRule="auto"/>
        <w:ind w:firstLine="720"/>
        <w:jc w:val="both"/>
        <w:rPr>
          <w:rFonts w:eastAsiaTheme="minorEastAsia"/>
          <w:sz w:val="24"/>
          <w:szCs w:val="24"/>
        </w:rPr>
      </w:pPr>
      <w:r>
        <w:rPr>
          <w:rFonts w:eastAsiaTheme="minorEastAsia"/>
          <w:sz w:val="24"/>
          <w:szCs w:val="24"/>
        </w:rPr>
        <w:lastRenderedPageBreak/>
        <w:t>Given the accounting identity that governs the full system of banks, w</w:t>
      </w:r>
      <w:r w:rsidR="0069181D" w:rsidRPr="003145A6">
        <w:rPr>
          <w:rFonts w:eastAsiaTheme="minorEastAsia"/>
          <w:sz w:val="24"/>
          <w:szCs w:val="24"/>
        </w:rPr>
        <w:t xml:space="preserve">e represent the adjacency matrix of the interbank </w:t>
      </w:r>
      <w:r w:rsidR="00F55EE8">
        <w:rPr>
          <w:rFonts w:eastAsiaTheme="minorEastAsia"/>
          <w:sz w:val="24"/>
          <w:szCs w:val="24"/>
        </w:rPr>
        <w:t xml:space="preserve">lending </w:t>
      </w:r>
      <w:r w:rsidR="0069181D" w:rsidRPr="003145A6">
        <w:rPr>
          <w:rFonts w:eastAsiaTheme="minorEastAsia"/>
          <w:sz w:val="24"/>
          <w:szCs w:val="24"/>
        </w:rPr>
        <w:t xml:space="preserve">market as follows.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1433"/>
        <w:gridCol w:w="1588"/>
        <w:gridCol w:w="1023"/>
        <w:gridCol w:w="1628"/>
      </w:tblGrid>
      <w:tr w:rsidR="0069181D" w:rsidRPr="003145A6" w14:paraId="14F2CD99" w14:textId="77777777" w:rsidTr="00437FC9">
        <w:trPr>
          <w:jc w:val="center"/>
        </w:trPr>
        <w:tc>
          <w:tcPr>
            <w:tcW w:w="1548" w:type="dxa"/>
          </w:tcPr>
          <w:p w14:paraId="4983DE57" w14:textId="77777777" w:rsidR="0069181D" w:rsidRPr="003145A6" w:rsidRDefault="0069181D" w:rsidP="00437FC9">
            <w:pPr>
              <w:spacing w:line="360" w:lineRule="auto"/>
              <w:jc w:val="center"/>
              <w:rPr>
                <w:rFonts w:eastAsiaTheme="minorEastAsia"/>
                <w:sz w:val="24"/>
                <w:szCs w:val="24"/>
              </w:rPr>
            </w:pPr>
          </w:p>
        </w:tc>
        <w:tc>
          <w:tcPr>
            <w:tcW w:w="1433" w:type="dxa"/>
          </w:tcPr>
          <w:p w14:paraId="62F59D13" w14:textId="77777777" w:rsidR="0069181D" w:rsidRPr="003145A6" w:rsidRDefault="0069181D" w:rsidP="00437FC9">
            <w:pPr>
              <w:spacing w:line="360" w:lineRule="auto"/>
              <w:jc w:val="center"/>
              <w:rPr>
                <w:rFonts w:eastAsiaTheme="minorEastAsia"/>
                <w:sz w:val="24"/>
                <w:szCs w:val="24"/>
              </w:rPr>
            </w:pPr>
            <w:r w:rsidRPr="003145A6">
              <w:rPr>
                <w:rFonts w:eastAsiaTheme="minorEastAsia"/>
                <w:sz w:val="24"/>
                <w:szCs w:val="24"/>
              </w:rPr>
              <w:t>Bank 1</w:t>
            </w:r>
          </w:p>
        </w:tc>
        <w:tc>
          <w:tcPr>
            <w:tcW w:w="1588" w:type="dxa"/>
          </w:tcPr>
          <w:p w14:paraId="0397CA35" w14:textId="77777777" w:rsidR="0069181D" w:rsidRPr="003145A6" w:rsidRDefault="0069181D" w:rsidP="00437FC9">
            <w:pPr>
              <w:spacing w:line="360" w:lineRule="auto"/>
              <w:jc w:val="center"/>
              <w:rPr>
                <w:rFonts w:eastAsiaTheme="minorEastAsia"/>
                <w:sz w:val="24"/>
                <w:szCs w:val="24"/>
              </w:rPr>
            </w:pPr>
            <w:r w:rsidRPr="003145A6">
              <w:rPr>
                <w:rFonts w:eastAsiaTheme="minorEastAsia"/>
                <w:sz w:val="24"/>
                <w:szCs w:val="24"/>
              </w:rPr>
              <w:t>Bank 2</w:t>
            </w:r>
          </w:p>
        </w:tc>
        <w:tc>
          <w:tcPr>
            <w:tcW w:w="1023" w:type="dxa"/>
          </w:tcPr>
          <w:p w14:paraId="713500BC" w14:textId="77777777" w:rsidR="0069181D" w:rsidRPr="003145A6" w:rsidRDefault="0069181D" w:rsidP="00437FC9">
            <w:pPr>
              <w:spacing w:line="360" w:lineRule="auto"/>
              <w:jc w:val="center"/>
              <w:rPr>
                <w:rFonts w:eastAsiaTheme="minorEastAsia"/>
                <w:sz w:val="24"/>
                <w:szCs w:val="24"/>
              </w:rPr>
            </w:pPr>
            <w:r w:rsidRPr="003145A6">
              <w:rPr>
                <w:rFonts w:eastAsiaTheme="minorEastAsia"/>
                <w:sz w:val="24"/>
                <w:szCs w:val="24"/>
              </w:rPr>
              <w:t>…</w:t>
            </w:r>
          </w:p>
        </w:tc>
        <w:tc>
          <w:tcPr>
            <w:tcW w:w="1628" w:type="dxa"/>
          </w:tcPr>
          <w:p w14:paraId="196A0FF4" w14:textId="77777777" w:rsidR="0069181D" w:rsidRPr="003145A6" w:rsidRDefault="0069181D" w:rsidP="00437FC9">
            <w:pPr>
              <w:spacing w:line="360" w:lineRule="auto"/>
              <w:jc w:val="center"/>
              <w:rPr>
                <w:rFonts w:eastAsiaTheme="minorEastAsia"/>
                <w:sz w:val="24"/>
                <w:szCs w:val="24"/>
              </w:rPr>
            </w:pPr>
            <w:r w:rsidRPr="003145A6">
              <w:rPr>
                <w:rFonts w:eastAsiaTheme="minorEastAsia"/>
                <w:sz w:val="24"/>
                <w:szCs w:val="24"/>
              </w:rPr>
              <w:t xml:space="preserve">Bank </w:t>
            </w:r>
            <w:r w:rsidRPr="003145A6">
              <w:rPr>
                <w:rFonts w:eastAsiaTheme="minorEastAsia"/>
                <w:i/>
                <w:sz w:val="24"/>
                <w:szCs w:val="24"/>
              </w:rPr>
              <w:t>s</w:t>
            </w:r>
          </w:p>
        </w:tc>
      </w:tr>
      <w:tr w:rsidR="0069181D" w:rsidRPr="003145A6" w14:paraId="33367883" w14:textId="77777777" w:rsidTr="00437FC9">
        <w:trPr>
          <w:jc w:val="center"/>
        </w:trPr>
        <w:tc>
          <w:tcPr>
            <w:tcW w:w="1548" w:type="dxa"/>
          </w:tcPr>
          <w:p w14:paraId="41C624C6" w14:textId="77777777" w:rsidR="0069181D" w:rsidRPr="003145A6" w:rsidRDefault="0069181D" w:rsidP="00437FC9">
            <w:pPr>
              <w:spacing w:line="360" w:lineRule="auto"/>
              <w:jc w:val="center"/>
              <w:rPr>
                <w:rFonts w:eastAsiaTheme="minorEastAsia"/>
                <w:sz w:val="24"/>
                <w:szCs w:val="24"/>
              </w:rPr>
            </w:pPr>
            <w:r w:rsidRPr="003145A6">
              <w:rPr>
                <w:rFonts w:eastAsiaTheme="minorEastAsia"/>
                <w:sz w:val="24"/>
                <w:szCs w:val="24"/>
              </w:rPr>
              <w:t>Bank 1</w:t>
            </w:r>
          </w:p>
        </w:tc>
        <w:tc>
          <w:tcPr>
            <w:tcW w:w="1433" w:type="dxa"/>
          </w:tcPr>
          <w:p w14:paraId="697D90A0" w14:textId="77777777" w:rsidR="0069181D" w:rsidRPr="003145A6" w:rsidRDefault="0069181D" w:rsidP="00437FC9">
            <w:pPr>
              <w:spacing w:line="360" w:lineRule="auto"/>
              <w:jc w:val="center"/>
              <w:rPr>
                <w:rFonts w:eastAsiaTheme="minorEastAsia"/>
                <w:sz w:val="24"/>
                <w:szCs w:val="24"/>
              </w:rPr>
            </w:pPr>
            <w:r w:rsidRPr="003145A6">
              <w:rPr>
                <w:rFonts w:eastAsiaTheme="minorEastAsia"/>
                <w:sz w:val="24"/>
                <w:szCs w:val="24"/>
              </w:rPr>
              <w:t>0</w:t>
            </w:r>
          </w:p>
        </w:tc>
        <w:tc>
          <w:tcPr>
            <w:tcW w:w="1588" w:type="dxa"/>
          </w:tcPr>
          <w:p w14:paraId="11223C05" w14:textId="52D4FE72" w:rsidR="0069181D" w:rsidRPr="003145A6" w:rsidRDefault="00851398" w:rsidP="00EB1AE5">
            <w:pPr>
              <w:spacing w:line="360" w:lineRule="auto"/>
              <w:jc w:val="center"/>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π</m:t>
                    </m:r>
                  </m:e>
                  <m:sub>
                    <m:r>
                      <w:rPr>
                        <w:rFonts w:ascii="Cambria Math" w:hAnsi="Cambria Math"/>
                        <w:sz w:val="24"/>
                        <w:szCs w:val="24"/>
                      </w:rPr>
                      <m:t>1,2</m:t>
                    </m:r>
                  </m:sub>
                </m:sSub>
              </m:oMath>
            </m:oMathPara>
          </w:p>
        </w:tc>
        <w:tc>
          <w:tcPr>
            <w:tcW w:w="1023" w:type="dxa"/>
          </w:tcPr>
          <w:p w14:paraId="696542E3" w14:textId="77777777" w:rsidR="0069181D" w:rsidRPr="003145A6" w:rsidRDefault="0069181D" w:rsidP="00437FC9">
            <w:pPr>
              <w:spacing w:line="360" w:lineRule="auto"/>
              <w:jc w:val="center"/>
              <w:rPr>
                <w:rFonts w:eastAsiaTheme="minorEastAsia"/>
                <w:sz w:val="24"/>
                <w:szCs w:val="24"/>
              </w:rPr>
            </w:pPr>
            <w:r w:rsidRPr="003145A6">
              <w:rPr>
                <w:rFonts w:eastAsiaTheme="minorEastAsia"/>
                <w:sz w:val="24"/>
                <w:szCs w:val="24"/>
              </w:rPr>
              <w:t>…</w:t>
            </w:r>
          </w:p>
        </w:tc>
        <w:tc>
          <w:tcPr>
            <w:tcW w:w="1628" w:type="dxa"/>
          </w:tcPr>
          <w:p w14:paraId="6CC3EBB5" w14:textId="657F51FF" w:rsidR="0069181D" w:rsidRPr="003145A6" w:rsidRDefault="00851398" w:rsidP="00EB1AE5">
            <w:pPr>
              <w:spacing w:line="360" w:lineRule="auto"/>
              <w:jc w:val="center"/>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π</m:t>
                    </m:r>
                  </m:e>
                  <m:sub>
                    <m:r>
                      <w:rPr>
                        <w:rFonts w:ascii="Cambria Math" w:hAnsi="Cambria Math"/>
                        <w:sz w:val="24"/>
                        <w:szCs w:val="24"/>
                      </w:rPr>
                      <m:t>1,s</m:t>
                    </m:r>
                  </m:sub>
                </m:sSub>
              </m:oMath>
            </m:oMathPara>
          </w:p>
        </w:tc>
      </w:tr>
      <w:tr w:rsidR="0069181D" w:rsidRPr="003145A6" w14:paraId="140333DF" w14:textId="77777777" w:rsidTr="00437FC9">
        <w:trPr>
          <w:jc w:val="center"/>
        </w:trPr>
        <w:tc>
          <w:tcPr>
            <w:tcW w:w="1548" w:type="dxa"/>
          </w:tcPr>
          <w:p w14:paraId="4BBA19DF" w14:textId="77777777" w:rsidR="0069181D" w:rsidRPr="003145A6" w:rsidRDefault="0069181D" w:rsidP="00437FC9">
            <w:pPr>
              <w:spacing w:line="360" w:lineRule="auto"/>
              <w:jc w:val="center"/>
              <w:rPr>
                <w:rFonts w:eastAsiaTheme="minorEastAsia"/>
                <w:sz w:val="24"/>
                <w:szCs w:val="24"/>
              </w:rPr>
            </w:pPr>
            <w:r w:rsidRPr="003145A6">
              <w:rPr>
                <w:rFonts w:eastAsiaTheme="minorEastAsia"/>
                <w:sz w:val="24"/>
                <w:szCs w:val="24"/>
              </w:rPr>
              <w:t>Bank 2</w:t>
            </w:r>
          </w:p>
        </w:tc>
        <w:tc>
          <w:tcPr>
            <w:tcW w:w="1433" w:type="dxa"/>
          </w:tcPr>
          <w:p w14:paraId="3D7F6983" w14:textId="3458CEBF" w:rsidR="0069181D" w:rsidRPr="003145A6" w:rsidRDefault="00851398" w:rsidP="00EB1AE5">
            <w:pPr>
              <w:spacing w:line="360" w:lineRule="auto"/>
              <w:jc w:val="center"/>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π</m:t>
                    </m:r>
                  </m:e>
                  <m:sub>
                    <m:r>
                      <w:rPr>
                        <w:rFonts w:ascii="Cambria Math" w:hAnsi="Cambria Math"/>
                        <w:sz w:val="24"/>
                        <w:szCs w:val="24"/>
                      </w:rPr>
                      <m:t>2,1</m:t>
                    </m:r>
                  </m:sub>
                </m:sSub>
              </m:oMath>
            </m:oMathPara>
          </w:p>
        </w:tc>
        <w:tc>
          <w:tcPr>
            <w:tcW w:w="1588" w:type="dxa"/>
          </w:tcPr>
          <w:p w14:paraId="5BFF96D6" w14:textId="77777777" w:rsidR="0069181D" w:rsidRPr="003145A6" w:rsidRDefault="0069181D" w:rsidP="00437FC9">
            <w:pPr>
              <w:spacing w:line="360" w:lineRule="auto"/>
              <w:jc w:val="center"/>
              <w:rPr>
                <w:rFonts w:eastAsiaTheme="minorEastAsia"/>
                <w:sz w:val="24"/>
                <w:szCs w:val="24"/>
              </w:rPr>
            </w:pPr>
            <w:r w:rsidRPr="003145A6">
              <w:rPr>
                <w:rFonts w:eastAsiaTheme="minorEastAsia"/>
                <w:sz w:val="24"/>
                <w:szCs w:val="24"/>
              </w:rPr>
              <w:t>0</w:t>
            </w:r>
          </w:p>
        </w:tc>
        <w:tc>
          <w:tcPr>
            <w:tcW w:w="1023" w:type="dxa"/>
          </w:tcPr>
          <w:p w14:paraId="774A7E2F" w14:textId="77777777" w:rsidR="0069181D" w:rsidRPr="003145A6" w:rsidRDefault="0069181D" w:rsidP="00437FC9">
            <w:pPr>
              <w:spacing w:line="360" w:lineRule="auto"/>
              <w:jc w:val="center"/>
              <w:rPr>
                <w:rFonts w:eastAsiaTheme="minorEastAsia"/>
                <w:sz w:val="24"/>
                <w:szCs w:val="24"/>
              </w:rPr>
            </w:pPr>
            <w:r w:rsidRPr="003145A6">
              <w:rPr>
                <w:rFonts w:eastAsiaTheme="minorEastAsia"/>
                <w:sz w:val="24"/>
                <w:szCs w:val="24"/>
              </w:rPr>
              <w:t>…</w:t>
            </w:r>
          </w:p>
        </w:tc>
        <w:tc>
          <w:tcPr>
            <w:tcW w:w="1628" w:type="dxa"/>
          </w:tcPr>
          <w:p w14:paraId="7FD7C73C" w14:textId="7A9090E6" w:rsidR="0069181D" w:rsidRPr="003145A6" w:rsidRDefault="00851398" w:rsidP="00EB1AE5">
            <w:pPr>
              <w:spacing w:line="360" w:lineRule="auto"/>
              <w:jc w:val="center"/>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π</m:t>
                    </m:r>
                  </m:e>
                  <m:sub>
                    <m:r>
                      <w:rPr>
                        <w:rFonts w:ascii="Cambria Math" w:hAnsi="Cambria Math"/>
                        <w:sz w:val="24"/>
                        <w:szCs w:val="24"/>
                      </w:rPr>
                      <m:t>2,s</m:t>
                    </m:r>
                  </m:sub>
                </m:sSub>
              </m:oMath>
            </m:oMathPara>
          </w:p>
        </w:tc>
      </w:tr>
      <w:tr w:rsidR="0069181D" w:rsidRPr="003145A6" w14:paraId="5A462A7C" w14:textId="77777777" w:rsidTr="00437FC9">
        <w:trPr>
          <w:jc w:val="center"/>
        </w:trPr>
        <w:tc>
          <w:tcPr>
            <w:tcW w:w="1548" w:type="dxa"/>
          </w:tcPr>
          <w:p w14:paraId="59E9BB37" w14:textId="77777777" w:rsidR="0069181D" w:rsidRPr="003145A6" w:rsidRDefault="0069181D" w:rsidP="00437FC9">
            <w:pPr>
              <w:spacing w:line="360" w:lineRule="auto"/>
              <w:jc w:val="center"/>
              <w:rPr>
                <w:rFonts w:eastAsiaTheme="minorEastAsia"/>
                <w:sz w:val="24"/>
                <w:szCs w:val="24"/>
              </w:rPr>
            </w:pPr>
          </w:p>
        </w:tc>
        <w:tc>
          <w:tcPr>
            <w:tcW w:w="1433" w:type="dxa"/>
          </w:tcPr>
          <w:p w14:paraId="76C01893" w14:textId="77777777" w:rsidR="0069181D" w:rsidRPr="003145A6" w:rsidRDefault="0069181D" w:rsidP="00437FC9">
            <w:pPr>
              <w:spacing w:line="360" w:lineRule="auto"/>
              <w:jc w:val="center"/>
              <w:rPr>
                <w:rFonts w:eastAsiaTheme="minorEastAsia"/>
                <w:sz w:val="24"/>
                <w:szCs w:val="24"/>
              </w:rPr>
            </w:pPr>
            <w:r w:rsidRPr="003145A6">
              <w:rPr>
                <w:rFonts w:eastAsiaTheme="minorEastAsia"/>
                <w:sz w:val="24"/>
                <w:szCs w:val="24"/>
              </w:rPr>
              <w:t>…</w:t>
            </w:r>
          </w:p>
        </w:tc>
        <w:tc>
          <w:tcPr>
            <w:tcW w:w="1588" w:type="dxa"/>
          </w:tcPr>
          <w:p w14:paraId="427BB950" w14:textId="77777777" w:rsidR="0069181D" w:rsidRPr="003145A6" w:rsidRDefault="0069181D" w:rsidP="00437FC9">
            <w:pPr>
              <w:spacing w:line="360" w:lineRule="auto"/>
              <w:jc w:val="center"/>
              <w:rPr>
                <w:rFonts w:eastAsiaTheme="minorEastAsia"/>
                <w:sz w:val="24"/>
                <w:szCs w:val="24"/>
              </w:rPr>
            </w:pPr>
            <w:r w:rsidRPr="003145A6">
              <w:rPr>
                <w:rFonts w:eastAsiaTheme="minorEastAsia"/>
                <w:sz w:val="24"/>
                <w:szCs w:val="24"/>
              </w:rPr>
              <w:t>…</w:t>
            </w:r>
          </w:p>
        </w:tc>
        <w:tc>
          <w:tcPr>
            <w:tcW w:w="1023" w:type="dxa"/>
          </w:tcPr>
          <w:p w14:paraId="1F80F9EC" w14:textId="77777777" w:rsidR="0069181D" w:rsidRPr="003145A6" w:rsidRDefault="0069181D" w:rsidP="00437FC9">
            <w:pPr>
              <w:spacing w:line="360" w:lineRule="auto"/>
              <w:jc w:val="center"/>
              <w:rPr>
                <w:rFonts w:eastAsiaTheme="minorEastAsia"/>
                <w:sz w:val="24"/>
                <w:szCs w:val="24"/>
              </w:rPr>
            </w:pPr>
            <w:r w:rsidRPr="003145A6">
              <w:rPr>
                <w:rFonts w:eastAsiaTheme="minorEastAsia"/>
                <w:sz w:val="24"/>
                <w:szCs w:val="24"/>
              </w:rPr>
              <w:t>…</w:t>
            </w:r>
          </w:p>
        </w:tc>
        <w:tc>
          <w:tcPr>
            <w:tcW w:w="1628" w:type="dxa"/>
          </w:tcPr>
          <w:p w14:paraId="32008DA1" w14:textId="77777777" w:rsidR="0069181D" w:rsidRPr="003145A6" w:rsidRDefault="0069181D" w:rsidP="00437FC9">
            <w:pPr>
              <w:spacing w:line="360" w:lineRule="auto"/>
              <w:jc w:val="center"/>
              <w:rPr>
                <w:rFonts w:eastAsiaTheme="minorEastAsia"/>
                <w:sz w:val="24"/>
                <w:szCs w:val="24"/>
              </w:rPr>
            </w:pPr>
          </w:p>
        </w:tc>
      </w:tr>
      <w:tr w:rsidR="0069181D" w:rsidRPr="003145A6" w14:paraId="6575B939" w14:textId="77777777" w:rsidTr="00437FC9">
        <w:trPr>
          <w:jc w:val="center"/>
        </w:trPr>
        <w:tc>
          <w:tcPr>
            <w:tcW w:w="1548" w:type="dxa"/>
          </w:tcPr>
          <w:p w14:paraId="50D8BE72" w14:textId="77777777" w:rsidR="0069181D" w:rsidRPr="003145A6" w:rsidRDefault="0069181D" w:rsidP="00437FC9">
            <w:pPr>
              <w:spacing w:line="360" w:lineRule="auto"/>
              <w:jc w:val="center"/>
              <w:rPr>
                <w:rFonts w:eastAsiaTheme="minorEastAsia"/>
                <w:sz w:val="24"/>
                <w:szCs w:val="24"/>
              </w:rPr>
            </w:pPr>
            <w:r w:rsidRPr="003145A6">
              <w:rPr>
                <w:rFonts w:eastAsiaTheme="minorEastAsia"/>
                <w:sz w:val="24"/>
                <w:szCs w:val="24"/>
              </w:rPr>
              <w:t xml:space="preserve">Bank </w:t>
            </w:r>
            <w:r w:rsidRPr="003145A6">
              <w:rPr>
                <w:rFonts w:eastAsiaTheme="minorEastAsia"/>
                <w:i/>
                <w:sz w:val="24"/>
                <w:szCs w:val="24"/>
              </w:rPr>
              <w:t>s</w:t>
            </w:r>
          </w:p>
        </w:tc>
        <w:tc>
          <w:tcPr>
            <w:tcW w:w="1433" w:type="dxa"/>
          </w:tcPr>
          <w:p w14:paraId="260F0EBB" w14:textId="6A484D3A" w:rsidR="0069181D" w:rsidRPr="003145A6" w:rsidRDefault="00851398" w:rsidP="00EB1AE5">
            <w:pPr>
              <w:spacing w:line="360" w:lineRule="auto"/>
              <w:jc w:val="center"/>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π</m:t>
                    </m:r>
                  </m:e>
                  <m:sub>
                    <m:r>
                      <w:rPr>
                        <w:rFonts w:ascii="Cambria Math" w:hAnsi="Cambria Math"/>
                        <w:sz w:val="24"/>
                        <w:szCs w:val="24"/>
                      </w:rPr>
                      <m:t>s,1</m:t>
                    </m:r>
                  </m:sub>
                </m:sSub>
              </m:oMath>
            </m:oMathPara>
          </w:p>
        </w:tc>
        <w:tc>
          <w:tcPr>
            <w:tcW w:w="1588" w:type="dxa"/>
          </w:tcPr>
          <w:p w14:paraId="2AB4E451" w14:textId="6BA36D3C" w:rsidR="0069181D" w:rsidRPr="003145A6" w:rsidRDefault="00851398" w:rsidP="00EB1AE5">
            <w:pPr>
              <w:spacing w:line="360" w:lineRule="auto"/>
              <w:jc w:val="center"/>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π</m:t>
                    </m:r>
                  </m:e>
                  <m:sub>
                    <m:r>
                      <w:rPr>
                        <w:rFonts w:ascii="Cambria Math" w:hAnsi="Cambria Math"/>
                        <w:sz w:val="24"/>
                        <w:szCs w:val="24"/>
                      </w:rPr>
                      <m:t>s,2</m:t>
                    </m:r>
                  </m:sub>
                </m:sSub>
              </m:oMath>
            </m:oMathPara>
          </w:p>
        </w:tc>
        <w:tc>
          <w:tcPr>
            <w:tcW w:w="1023" w:type="dxa"/>
          </w:tcPr>
          <w:p w14:paraId="78A7BCBB" w14:textId="77777777" w:rsidR="0069181D" w:rsidRPr="003145A6" w:rsidRDefault="0069181D" w:rsidP="00437FC9">
            <w:pPr>
              <w:spacing w:line="360" w:lineRule="auto"/>
              <w:jc w:val="center"/>
              <w:rPr>
                <w:rFonts w:eastAsiaTheme="minorEastAsia"/>
                <w:sz w:val="24"/>
                <w:szCs w:val="24"/>
              </w:rPr>
            </w:pPr>
            <w:r w:rsidRPr="003145A6">
              <w:rPr>
                <w:rFonts w:eastAsiaTheme="minorEastAsia"/>
                <w:sz w:val="24"/>
                <w:szCs w:val="24"/>
              </w:rPr>
              <w:t>…</w:t>
            </w:r>
          </w:p>
        </w:tc>
        <w:tc>
          <w:tcPr>
            <w:tcW w:w="1628" w:type="dxa"/>
          </w:tcPr>
          <w:p w14:paraId="560052CF" w14:textId="77777777" w:rsidR="0069181D" w:rsidRPr="003145A6" w:rsidRDefault="0069181D" w:rsidP="00437FC9">
            <w:pPr>
              <w:spacing w:line="360" w:lineRule="auto"/>
              <w:jc w:val="center"/>
              <w:rPr>
                <w:rFonts w:eastAsiaTheme="minorEastAsia"/>
                <w:sz w:val="24"/>
                <w:szCs w:val="24"/>
              </w:rPr>
            </w:pPr>
            <w:r w:rsidRPr="003145A6">
              <w:rPr>
                <w:rFonts w:eastAsiaTheme="minorEastAsia"/>
                <w:sz w:val="24"/>
                <w:szCs w:val="24"/>
              </w:rPr>
              <w:t>0</w:t>
            </w:r>
          </w:p>
        </w:tc>
      </w:tr>
    </w:tbl>
    <w:p w14:paraId="704F9A5E" w14:textId="77777777" w:rsidR="0069181D" w:rsidRPr="003145A6" w:rsidRDefault="0069181D" w:rsidP="0069181D">
      <w:pPr>
        <w:spacing w:line="480" w:lineRule="auto"/>
        <w:rPr>
          <w:rFonts w:eastAsiaTheme="minorEastAsia"/>
          <w:sz w:val="24"/>
          <w:szCs w:val="24"/>
        </w:rPr>
      </w:pPr>
    </w:p>
    <w:p w14:paraId="0F2DC31D" w14:textId="41516E3F" w:rsidR="00C23BC9" w:rsidRPr="003145A6" w:rsidRDefault="0069181D" w:rsidP="0085633E">
      <w:pPr>
        <w:spacing w:line="480" w:lineRule="auto"/>
        <w:ind w:firstLine="720"/>
        <w:rPr>
          <w:rFonts w:eastAsiaTheme="minorEastAsia"/>
          <w:sz w:val="24"/>
          <w:szCs w:val="24"/>
        </w:rPr>
      </w:pPr>
      <w:r w:rsidRPr="003145A6">
        <w:rPr>
          <w:rFonts w:eastAsiaTheme="minorEastAsia"/>
          <w:sz w:val="24"/>
          <w:szCs w:val="24"/>
        </w:rPr>
        <w:t xml:space="preserve">From equation (4) we build the consolidated balance sheet of the banking sector as whole where assets and liabilities are aggregated across banks. Given that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i,j</m:t>
            </m:r>
          </m:sub>
        </m:sSub>
      </m:oMath>
      <w:r w:rsidRPr="003145A6">
        <w:rPr>
          <w:rFonts w:eastAsiaTheme="minorEastAsia"/>
          <w:sz w:val="24"/>
          <w:szCs w:val="24"/>
        </w:rPr>
        <w:t xml:space="preserve"> is a liability for bank </w:t>
      </w:r>
      <w:r w:rsidRPr="003145A6">
        <w:rPr>
          <w:rFonts w:eastAsiaTheme="minorEastAsia"/>
          <w:i/>
          <w:sz w:val="24"/>
          <w:szCs w:val="24"/>
        </w:rPr>
        <w:t>i</w:t>
      </w:r>
      <w:r w:rsidRPr="003145A6">
        <w:rPr>
          <w:rFonts w:eastAsiaTheme="minorEastAsia"/>
          <w:sz w:val="24"/>
          <w:szCs w:val="24"/>
        </w:rPr>
        <w:t xml:space="preserve"> but an asset for bank </w:t>
      </w:r>
      <w:r w:rsidRPr="003145A6">
        <w:rPr>
          <w:rFonts w:eastAsiaTheme="minorEastAsia"/>
          <w:i/>
          <w:sz w:val="24"/>
          <w:szCs w:val="24"/>
        </w:rPr>
        <w:t>j</w:t>
      </w:r>
      <w:r w:rsidRPr="003145A6">
        <w:rPr>
          <w:rFonts w:eastAsiaTheme="minorEastAsia"/>
          <w:sz w:val="24"/>
          <w:szCs w:val="24"/>
        </w:rPr>
        <w:t xml:space="preserve">, the aggregated balance sheet does not </w:t>
      </w:r>
      <w:r w:rsidR="001C5B17">
        <w:rPr>
          <w:rFonts w:eastAsiaTheme="minorEastAsia"/>
          <w:sz w:val="24"/>
          <w:szCs w:val="24"/>
        </w:rPr>
        <w:t>include</w:t>
      </w:r>
      <w:r w:rsidRPr="003145A6">
        <w:rPr>
          <w:rFonts w:eastAsiaTheme="minorEastAsia"/>
          <w:sz w:val="24"/>
          <w:szCs w:val="24"/>
        </w:rPr>
        <w:t xml:space="preserve"> any interbank claim</w:t>
      </w:r>
      <w:r w:rsidR="001C5B17">
        <w:rPr>
          <w:rFonts w:eastAsiaTheme="minorEastAsia"/>
          <w:sz w:val="24"/>
          <w:szCs w:val="24"/>
        </w:rPr>
        <w:t>s</w:t>
      </w:r>
      <w:r w:rsidRPr="003145A6">
        <w:rPr>
          <w:rFonts w:eastAsiaTheme="minorEastAsia"/>
          <w:sz w:val="24"/>
          <w:szCs w:val="24"/>
        </w:rPr>
        <w:t>. Hence, (1) becomes</w:t>
      </w:r>
    </w:p>
    <w:tbl>
      <w:tblPr>
        <w:tblStyle w:val="TableGrid"/>
        <w:tblW w:w="7829" w:type="dxa"/>
        <w:tblInd w:w="1638" w:type="dxa"/>
        <w:tblBorders>
          <w:insideH w:val="none" w:sz="0" w:space="0" w:color="auto"/>
        </w:tblBorders>
        <w:tblLook w:val="04A0" w:firstRow="1" w:lastRow="0" w:firstColumn="1" w:lastColumn="0" w:noHBand="0" w:noVBand="1"/>
      </w:tblPr>
      <w:tblGrid>
        <w:gridCol w:w="2599"/>
        <w:gridCol w:w="2666"/>
        <w:gridCol w:w="2564"/>
      </w:tblGrid>
      <w:tr w:rsidR="0069181D" w:rsidRPr="003145A6" w14:paraId="433314D7" w14:textId="77777777" w:rsidTr="00590E71">
        <w:trPr>
          <w:trHeight w:val="299"/>
        </w:trPr>
        <w:tc>
          <w:tcPr>
            <w:tcW w:w="2599" w:type="dxa"/>
            <w:tcBorders>
              <w:top w:val="single" w:sz="4" w:space="0" w:color="auto"/>
              <w:bottom w:val="dashed" w:sz="4" w:space="0" w:color="auto"/>
            </w:tcBorders>
          </w:tcPr>
          <w:p w14:paraId="26C7A8F2" w14:textId="77777777" w:rsidR="0069181D" w:rsidRPr="003145A6" w:rsidRDefault="0069181D" w:rsidP="00437FC9">
            <w:pPr>
              <w:spacing w:line="360" w:lineRule="auto"/>
              <w:jc w:val="center"/>
              <w:rPr>
                <w:rFonts w:eastAsiaTheme="minorEastAsia"/>
                <w:sz w:val="24"/>
                <w:szCs w:val="24"/>
              </w:rPr>
            </w:pPr>
            <w:r w:rsidRPr="003145A6">
              <w:rPr>
                <w:rFonts w:eastAsiaTheme="minorEastAsia"/>
                <w:sz w:val="24"/>
                <w:szCs w:val="24"/>
              </w:rPr>
              <w:t>Assets</w:t>
            </w:r>
          </w:p>
        </w:tc>
        <w:tc>
          <w:tcPr>
            <w:tcW w:w="2666" w:type="dxa"/>
            <w:tcBorders>
              <w:top w:val="single" w:sz="4" w:space="0" w:color="auto"/>
              <w:bottom w:val="dashed" w:sz="4" w:space="0" w:color="auto"/>
            </w:tcBorders>
          </w:tcPr>
          <w:p w14:paraId="54A91BDD" w14:textId="77777777" w:rsidR="0069181D" w:rsidRPr="003145A6" w:rsidRDefault="0069181D" w:rsidP="00437FC9">
            <w:pPr>
              <w:spacing w:line="360" w:lineRule="auto"/>
              <w:jc w:val="center"/>
              <w:rPr>
                <w:rFonts w:eastAsiaTheme="minorEastAsia"/>
                <w:sz w:val="24"/>
                <w:szCs w:val="24"/>
              </w:rPr>
            </w:pPr>
            <w:r w:rsidRPr="003145A6">
              <w:rPr>
                <w:rFonts w:eastAsiaTheme="minorEastAsia"/>
                <w:sz w:val="24"/>
                <w:szCs w:val="24"/>
              </w:rPr>
              <w:t>Liabilities</w:t>
            </w:r>
          </w:p>
        </w:tc>
        <w:tc>
          <w:tcPr>
            <w:tcW w:w="2564" w:type="dxa"/>
            <w:tcBorders>
              <w:top w:val="nil"/>
              <w:bottom w:val="nil"/>
              <w:right w:val="nil"/>
            </w:tcBorders>
          </w:tcPr>
          <w:p w14:paraId="769EBFDA" w14:textId="77777777" w:rsidR="0069181D" w:rsidRPr="003145A6" w:rsidRDefault="0069181D" w:rsidP="00437FC9">
            <w:pPr>
              <w:spacing w:line="360" w:lineRule="auto"/>
              <w:jc w:val="center"/>
              <w:rPr>
                <w:rFonts w:eastAsiaTheme="minorEastAsia"/>
                <w:sz w:val="24"/>
                <w:szCs w:val="24"/>
              </w:rPr>
            </w:pPr>
          </w:p>
        </w:tc>
      </w:tr>
      <w:tr w:rsidR="0069181D" w:rsidRPr="003145A6" w14:paraId="1BDF2066" w14:textId="77777777" w:rsidTr="00590E71">
        <w:trPr>
          <w:trHeight w:val="853"/>
        </w:trPr>
        <w:tc>
          <w:tcPr>
            <w:tcW w:w="2599" w:type="dxa"/>
            <w:tcBorders>
              <w:top w:val="dashed" w:sz="4" w:space="0" w:color="auto"/>
            </w:tcBorders>
          </w:tcPr>
          <w:p w14:paraId="19B365AF" w14:textId="77777777" w:rsidR="0069181D" w:rsidRPr="003145A6" w:rsidRDefault="0069181D" w:rsidP="00437FC9">
            <w:pPr>
              <w:spacing w:line="360" w:lineRule="auto"/>
              <w:rPr>
                <w:rFonts w:eastAsiaTheme="minorEastAsia"/>
                <w:sz w:val="24"/>
                <w:szCs w:val="24"/>
              </w:rPr>
            </w:pPr>
          </w:p>
          <w:p w14:paraId="12509B6E" w14:textId="77777777" w:rsidR="0069181D" w:rsidRPr="003145A6" w:rsidRDefault="00851398" w:rsidP="00437FC9">
            <w:pPr>
              <w:spacing w:line="360" w:lineRule="auto"/>
              <w:rPr>
                <w:rFonts w:eastAsiaTheme="minorEastAsia"/>
                <w:sz w:val="24"/>
                <w:szCs w:val="24"/>
              </w:rPr>
            </w:pPr>
            <m:oMathPara>
              <m:oMath>
                <m:nary>
                  <m:naryPr>
                    <m:chr m:val="∑"/>
                    <m:limLoc m:val="undOvr"/>
                    <m:supHide m:val="1"/>
                    <m:ctrlPr>
                      <w:rPr>
                        <w:rFonts w:ascii="Cambria Math" w:eastAsiaTheme="minorEastAsia" w:hAnsi="Cambria Math"/>
                        <w:i/>
                        <w:sz w:val="24"/>
                        <w:szCs w:val="24"/>
                      </w:rPr>
                    </m:ctrlPr>
                  </m:naryPr>
                  <m:sub>
                    <m:r>
                      <w:rPr>
                        <w:rFonts w:ascii="Cambria Math" w:eastAsiaTheme="minorEastAsia" w:hAnsi="Cambria Math"/>
                        <w:sz w:val="24"/>
                        <w:szCs w:val="24"/>
                      </w:rPr>
                      <m:t>i</m:t>
                    </m:r>
                  </m:sub>
                  <m:sup/>
                  <m:e>
                    <m:nary>
                      <m:naryPr>
                        <m:chr m:val="∑"/>
                        <m:limLoc m:val="undOvr"/>
                        <m:supHide m:val="1"/>
                        <m:ctrlPr>
                          <w:rPr>
                            <w:rFonts w:ascii="Cambria Math" w:eastAsiaTheme="minorEastAsia" w:hAnsi="Cambria Math"/>
                            <w:i/>
                            <w:sz w:val="24"/>
                            <w:szCs w:val="24"/>
                          </w:rPr>
                        </m:ctrlPr>
                      </m:naryPr>
                      <m:sub>
                        <m:r>
                          <w:rPr>
                            <w:rFonts w:ascii="Cambria Math" w:eastAsiaTheme="minorEastAsia" w:hAnsi="Cambria Math"/>
                            <w:sz w:val="24"/>
                            <w:szCs w:val="24"/>
                          </w:rPr>
                          <m:t>k</m:t>
                        </m:r>
                      </m:sub>
                      <m:sup/>
                      <m:e>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i,k</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i,k</m:t>
                            </m:r>
                          </m:sub>
                        </m:sSub>
                      </m:e>
                    </m:nary>
                  </m:e>
                </m:nary>
              </m:oMath>
            </m:oMathPara>
          </w:p>
        </w:tc>
        <w:tc>
          <w:tcPr>
            <w:tcW w:w="2666" w:type="dxa"/>
            <w:tcBorders>
              <w:top w:val="dashed" w:sz="4" w:space="0" w:color="auto"/>
            </w:tcBorders>
          </w:tcPr>
          <w:p w14:paraId="39678EEC" w14:textId="77777777" w:rsidR="0069181D" w:rsidRPr="003145A6" w:rsidRDefault="0069181D" w:rsidP="00437FC9">
            <w:pPr>
              <w:spacing w:line="360" w:lineRule="auto"/>
              <w:rPr>
                <w:rFonts w:eastAsiaTheme="minorEastAsia"/>
                <w:sz w:val="24"/>
                <w:szCs w:val="24"/>
              </w:rPr>
            </w:pPr>
          </w:p>
          <w:p w14:paraId="54E2C3E8" w14:textId="77777777" w:rsidR="0069181D" w:rsidRPr="003145A6" w:rsidRDefault="00851398" w:rsidP="00437FC9">
            <w:pPr>
              <w:spacing w:line="360" w:lineRule="auto"/>
              <w:rPr>
                <w:rFonts w:eastAsiaTheme="minorEastAsia"/>
                <w:sz w:val="24"/>
                <w:szCs w:val="24"/>
              </w:rPr>
            </w:pPr>
            <m:oMathPara>
              <m:oMath>
                <m:nary>
                  <m:naryPr>
                    <m:chr m:val="∑"/>
                    <m:limLoc m:val="undOvr"/>
                    <m:supHide m:val="1"/>
                    <m:ctrlPr>
                      <w:rPr>
                        <w:rFonts w:ascii="Cambria Math" w:eastAsiaTheme="minorEastAsia" w:hAnsi="Cambria Math"/>
                        <w:i/>
                        <w:sz w:val="24"/>
                        <w:szCs w:val="24"/>
                      </w:rPr>
                    </m:ctrlPr>
                  </m:naryPr>
                  <m:sub>
                    <m:r>
                      <w:rPr>
                        <w:rFonts w:ascii="Cambria Math" w:eastAsiaTheme="minorEastAsia" w:hAnsi="Cambria Math"/>
                        <w:sz w:val="24"/>
                        <w:szCs w:val="24"/>
                      </w:rPr>
                      <m:t>i</m:t>
                    </m:r>
                  </m:sub>
                  <m:sup/>
                  <m:e>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i</m:t>
                        </m:r>
                      </m:sub>
                    </m:sSub>
                  </m:e>
                </m:nary>
              </m:oMath>
            </m:oMathPara>
          </w:p>
        </w:tc>
        <w:tc>
          <w:tcPr>
            <w:tcW w:w="2564" w:type="dxa"/>
            <w:tcBorders>
              <w:top w:val="nil"/>
              <w:bottom w:val="nil"/>
              <w:right w:val="nil"/>
            </w:tcBorders>
          </w:tcPr>
          <w:p w14:paraId="1A8282C3" w14:textId="77777777" w:rsidR="0069181D" w:rsidRPr="003145A6" w:rsidRDefault="0069181D" w:rsidP="00437FC9">
            <w:pPr>
              <w:spacing w:line="360" w:lineRule="auto"/>
              <w:rPr>
                <w:rFonts w:eastAsia="Calibri" w:cs="Times New Roman"/>
                <w:sz w:val="24"/>
                <w:szCs w:val="24"/>
              </w:rPr>
            </w:pPr>
          </w:p>
        </w:tc>
      </w:tr>
      <w:tr w:rsidR="0069181D" w:rsidRPr="003145A6" w14:paraId="28EAB7AE" w14:textId="77777777" w:rsidTr="00590E71">
        <w:trPr>
          <w:trHeight w:val="299"/>
        </w:trPr>
        <w:tc>
          <w:tcPr>
            <w:tcW w:w="2599" w:type="dxa"/>
          </w:tcPr>
          <w:p w14:paraId="59EAAD50" w14:textId="77777777" w:rsidR="0069181D" w:rsidRPr="003145A6" w:rsidRDefault="0069181D" w:rsidP="00437FC9">
            <w:pPr>
              <w:spacing w:line="360" w:lineRule="auto"/>
              <w:rPr>
                <w:rFonts w:eastAsiaTheme="minorEastAsia"/>
                <w:sz w:val="24"/>
                <w:szCs w:val="24"/>
              </w:rPr>
            </w:pPr>
          </w:p>
        </w:tc>
        <w:tc>
          <w:tcPr>
            <w:tcW w:w="2666" w:type="dxa"/>
          </w:tcPr>
          <w:p w14:paraId="1B07C21D" w14:textId="77777777" w:rsidR="0069181D" w:rsidRPr="003145A6" w:rsidRDefault="0069181D" w:rsidP="00437FC9">
            <w:pPr>
              <w:spacing w:line="360" w:lineRule="auto"/>
              <w:rPr>
                <w:rFonts w:eastAsiaTheme="minorEastAsia"/>
                <w:sz w:val="24"/>
                <w:szCs w:val="24"/>
              </w:rPr>
            </w:pPr>
          </w:p>
        </w:tc>
        <w:tc>
          <w:tcPr>
            <w:tcW w:w="2564" w:type="dxa"/>
            <w:tcBorders>
              <w:top w:val="nil"/>
              <w:right w:val="nil"/>
            </w:tcBorders>
          </w:tcPr>
          <w:p w14:paraId="13AE832B" w14:textId="77777777" w:rsidR="0069181D" w:rsidRPr="003145A6" w:rsidRDefault="0069181D" w:rsidP="00437FC9">
            <w:pPr>
              <w:spacing w:line="360" w:lineRule="auto"/>
              <w:jc w:val="center"/>
              <w:rPr>
                <w:rFonts w:eastAsia="Calibri" w:cs="Times New Roman"/>
                <w:sz w:val="24"/>
                <w:szCs w:val="24"/>
              </w:rPr>
            </w:pPr>
            <w:r w:rsidRPr="003145A6">
              <w:rPr>
                <w:rFonts w:eastAsia="Calibri" w:cs="Times New Roman"/>
                <w:sz w:val="24"/>
                <w:szCs w:val="24"/>
              </w:rPr>
              <w:t>(5)</w:t>
            </w:r>
          </w:p>
        </w:tc>
      </w:tr>
      <w:tr w:rsidR="0069181D" w:rsidRPr="003145A6" w14:paraId="5A344B56" w14:textId="77777777" w:rsidTr="00590E71">
        <w:trPr>
          <w:trHeight w:val="288"/>
        </w:trPr>
        <w:tc>
          <w:tcPr>
            <w:tcW w:w="2599" w:type="dxa"/>
          </w:tcPr>
          <w:p w14:paraId="4F954462" w14:textId="77777777" w:rsidR="0069181D" w:rsidRPr="003145A6" w:rsidRDefault="0069181D" w:rsidP="00437FC9">
            <w:pPr>
              <w:spacing w:line="360" w:lineRule="auto"/>
              <w:rPr>
                <w:rFonts w:eastAsiaTheme="minorEastAsia"/>
                <w:sz w:val="24"/>
                <w:szCs w:val="24"/>
              </w:rPr>
            </w:pPr>
          </w:p>
        </w:tc>
        <w:tc>
          <w:tcPr>
            <w:tcW w:w="2666" w:type="dxa"/>
          </w:tcPr>
          <w:p w14:paraId="2C6D49F5" w14:textId="77777777" w:rsidR="0069181D" w:rsidRPr="003145A6" w:rsidRDefault="00851398" w:rsidP="00437FC9">
            <w:pPr>
              <w:spacing w:line="360" w:lineRule="auto"/>
              <w:rPr>
                <w:rFonts w:eastAsiaTheme="minorEastAsia"/>
                <w:sz w:val="24"/>
                <w:szCs w:val="24"/>
              </w:rPr>
            </w:pPr>
            <m:oMathPara>
              <m:oMath>
                <m:nary>
                  <m:naryPr>
                    <m:chr m:val="∑"/>
                    <m:limLoc m:val="undOvr"/>
                    <m:supHide m:val="1"/>
                    <m:ctrlPr>
                      <w:rPr>
                        <w:rFonts w:ascii="Cambria Math" w:eastAsiaTheme="minorEastAsia" w:hAnsi="Cambria Math"/>
                        <w:i/>
                        <w:sz w:val="24"/>
                        <w:szCs w:val="24"/>
                      </w:rPr>
                    </m:ctrlPr>
                  </m:naryPr>
                  <m:sub>
                    <m:r>
                      <w:rPr>
                        <w:rFonts w:ascii="Cambria Math" w:eastAsiaTheme="minorEastAsia" w:hAnsi="Cambria Math"/>
                        <w:sz w:val="24"/>
                        <w:szCs w:val="24"/>
                      </w:rPr>
                      <m:t>i</m:t>
                    </m:r>
                  </m:sub>
                  <m:sup/>
                  <m:e>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i</m:t>
                        </m:r>
                      </m:sub>
                    </m:sSub>
                  </m:e>
                </m:nary>
              </m:oMath>
            </m:oMathPara>
          </w:p>
        </w:tc>
        <w:tc>
          <w:tcPr>
            <w:tcW w:w="2564" w:type="dxa"/>
            <w:tcBorders>
              <w:bottom w:val="nil"/>
              <w:right w:val="nil"/>
            </w:tcBorders>
          </w:tcPr>
          <w:p w14:paraId="77BAF41F" w14:textId="77777777" w:rsidR="0069181D" w:rsidRPr="003145A6" w:rsidRDefault="0069181D" w:rsidP="00437FC9">
            <w:pPr>
              <w:spacing w:line="360" w:lineRule="auto"/>
              <w:rPr>
                <w:rFonts w:eastAsia="Calibri" w:cs="Times New Roman"/>
                <w:sz w:val="24"/>
                <w:szCs w:val="24"/>
              </w:rPr>
            </w:pPr>
          </w:p>
        </w:tc>
      </w:tr>
    </w:tbl>
    <w:p w14:paraId="233B08AC" w14:textId="77777777" w:rsidR="0069181D" w:rsidRPr="003145A6" w:rsidRDefault="0069181D" w:rsidP="0069181D">
      <w:pPr>
        <w:spacing w:line="360" w:lineRule="auto"/>
        <w:rPr>
          <w:rFonts w:eastAsiaTheme="minorEastAsia"/>
          <w:sz w:val="24"/>
          <w:szCs w:val="24"/>
        </w:rPr>
      </w:pPr>
    </w:p>
    <w:p w14:paraId="2AC86D93" w14:textId="582E4937" w:rsidR="0069181D" w:rsidRPr="003145A6" w:rsidRDefault="0069181D" w:rsidP="00985C7B">
      <w:pPr>
        <w:spacing w:line="480" w:lineRule="auto"/>
        <w:jc w:val="both"/>
        <w:rPr>
          <w:rFonts w:eastAsiaTheme="minorEastAsia"/>
          <w:sz w:val="24"/>
          <w:szCs w:val="24"/>
        </w:rPr>
      </w:pPr>
      <w:r w:rsidRPr="003145A6">
        <w:rPr>
          <w:rFonts w:eastAsiaTheme="minorEastAsia"/>
          <w:sz w:val="24"/>
          <w:szCs w:val="24"/>
        </w:rPr>
        <w:t>and the balance sheet identity is now</w:t>
      </w:r>
      <w:r w:rsidR="001C5B17">
        <w:rPr>
          <w:rStyle w:val="FootnoteReference"/>
          <w:rFonts w:eastAsiaTheme="minorEastAsia"/>
          <w:sz w:val="24"/>
          <w:szCs w:val="24"/>
        </w:rPr>
        <w:footnoteReference w:id="7"/>
      </w:r>
      <w:r w:rsidRPr="003145A6">
        <w:rPr>
          <w:rFonts w:eastAsiaTheme="minorEastAsia"/>
          <w:sz w:val="24"/>
          <w:szCs w:val="24"/>
        </w:rPr>
        <w:t xml:space="preserve"> </w:t>
      </w:r>
    </w:p>
    <w:p w14:paraId="662077FE" w14:textId="77777777" w:rsidR="0069181D" w:rsidRPr="003145A6" w:rsidRDefault="0069181D" w:rsidP="0069181D">
      <w:pPr>
        <w:spacing w:line="480" w:lineRule="auto"/>
        <w:rPr>
          <w:rFonts w:eastAsiaTheme="minorEastAsia"/>
          <w:sz w:val="24"/>
          <w:szCs w:val="24"/>
        </w:rPr>
      </w:pPr>
      <m:oMathPara>
        <m:oMath>
          <m:r>
            <m:rPr>
              <m:sty m:val="bi"/>
            </m:rPr>
            <w:rPr>
              <w:rFonts w:ascii="Cambria Math" w:eastAsiaTheme="minorEastAsia" w:hAnsi="Cambria Math"/>
              <w:sz w:val="24"/>
              <w:szCs w:val="24"/>
            </w:rPr>
            <m:t>E</m:t>
          </m:r>
          <m:r>
            <w:rPr>
              <w:rFonts w:ascii="Cambria Math" w:eastAsiaTheme="minorEastAsia" w:hAnsi="Cambria Math"/>
              <w:sz w:val="24"/>
              <w:szCs w:val="24"/>
            </w:rPr>
            <m:t>=</m:t>
          </m:r>
          <m:r>
            <m:rPr>
              <m:sty m:val="bi"/>
            </m:rPr>
            <w:rPr>
              <w:rFonts w:ascii="Cambria Math" w:eastAsiaTheme="minorEastAsia" w:hAnsi="Cambria Math"/>
              <w:sz w:val="24"/>
              <w:szCs w:val="24"/>
            </w:rPr>
            <m:t>WY</m:t>
          </m:r>
          <m:r>
            <w:rPr>
              <w:rFonts w:ascii="Cambria Math" w:eastAsiaTheme="minorEastAsia" w:hAnsi="Cambria Math"/>
              <w:sz w:val="24"/>
              <w:szCs w:val="24"/>
            </w:rPr>
            <m:t>-</m:t>
          </m:r>
          <m:r>
            <m:rPr>
              <m:sty m:val="bi"/>
            </m:rPr>
            <w:rPr>
              <w:rFonts w:ascii="Cambria Math" w:eastAsiaTheme="minorEastAsia" w:hAnsi="Cambria Math"/>
              <w:sz w:val="24"/>
              <w:szCs w:val="24"/>
            </w:rPr>
            <m:t>D</m:t>
          </m:r>
          <m:r>
            <m:rPr>
              <m:nor/>
            </m:rPr>
            <w:rPr>
              <w:rFonts w:ascii="Cambria Math" w:eastAsiaTheme="minorEastAsia" w:hAnsi="Cambria Math"/>
              <w:b/>
              <w:sz w:val="24"/>
              <w:szCs w:val="24"/>
            </w:rPr>
            <m:t xml:space="preserve">                             </m:t>
          </m:r>
          <m:r>
            <m:rPr>
              <m:nor/>
            </m:rPr>
            <w:rPr>
              <w:rFonts w:ascii="Cambria Math" w:eastAsiaTheme="minorEastAsia" w:hAnsi="Cambria Math"/>
              <w:sz w:val="24"/>
              <w:szCs w:val="24"/>
            </w:rPr>
            <m:t>(6)</m:t>
          </m:r>
        </m:oMath>
      </m:oMathPara>
    </w:p>
    <w:p w14:paraId="1B453228" w14:textId="5F6DCC64" w:rsidR="009C1532" w:rsidRDefault="009C1532" w:rsidP="009C1532">
      <w:pPr>
        <w:spacing w:line="480" w:lineRule="auto"/>
        <w:ind w:firstLine="720"/>
        <w:jc w:val="both"/>
        <w:rPr>
          <w:rFonts w:eastAsiaTheme="minorEastAsia"/>
          <w:sz w:val="24"/>
          <w:szCs w:val="24"/>
        </w:rPr>
      </w:pPr>
      <w:r w:rsidRPr="003145A6">
        <w:rPr>
          <w:rFonts w:eastAsiaTheme="minorEastAsia"/>
          <w:sz w:val="24"/>
          <w:szCs w:val="24"/>
        </w:rPr>
        <w:lastRenderedPageBreak/>
        <w:t>Equations (4) and (6) highlight how the two networks subsume different information sets which represent our main object of investigation.</w:t>
      </w:r>
      <w:r>
        <w:rPr>
          <w:rFonts w:eastAsiaTheme="minorEastAsia"/>
          <w:sz w:val="24"/>
          <w:szCs w:val="24"/>
        </w:rPr>
        <w:t xml:space="preserve"> The main difference between the two networks emanate from the aggregation which is required in the correlation network. </w:t>
      </w:r>
      <w:r w:rsidRPr="003145A6">
        <w:rPr>
          <w:rFonts w:eastAsiaTheme="minorEastAsia"/>
          <w:sz w:val="24"/>
          <w:szCs w:val="24"/>
        </w:rPr>
        <w:t xml:space="preserve"> </w:t>
      </w:r>
      <w:r>
        <w:rPr>
          <w:rFonts w:eastAsiaTheme="minorEastAsia"/>
          <w:sz w:val="24"/>
          <w:szCs w:val="24"/>
        </w:rPr>
        <w:t>Below we formally test whether and how economic fundamentals and shocks affect interconnectedness in the two network structures.</w:t>
      </w:r>
    </w:p>
    <w:p w14:paraId="7A78A8BA" w14:textId="6EB6C3A1" w:rsidR="0069181D" w:rsidRPr="003145A6" w:rsidRDefault="0069181D" w:rsidP="00985C7B">
      <w:pPr>
        <w:spacing w:line="480" w:lineRule="auto"/>
        <w:ind w:firstLine="720"/>
        <w:jc w:val="both"/>
        <w:rPr>
          <w:rFonts w:eastAsiaTheme="minorEastAsia"/>
          <w:sz w:val="24"/>
          <w:szCs w:val="24"/>
        </w:rPr>
      </w:pPr>
      <w:r w:rsidRPr="003145A6">
        <w:rPr>
          <w:rFonts w:eastAsiaTheme="minorEastAsia"/>
          <w:sz w:val="24"/>
          <w:szCs w:val="24"/>
        </w:rPr>
        <w:t xml:space="preserve">For the </w:t>
      </w:r>
      <w:r w:rsidR="00777A0D" w:rsidRPr="003145A6">
        <w:rPr>
          <w:rFonts w:eastAsiaTheme="minorEastAsia"/>
          <w:sz w:val="24"/>
          <w:szCs w:val="24"/>
        </w:rPr>
        <w:t>correlation</w:t>
      </w:r>
      <w:r w:rsidRPr="003145A6">
        <w:rPr>
          <w:rFonts w:eastAsiaTheme="minorEastAsia"/>
          <w:sz w:val="24"/>
          <w:szCs w:val="24"/>
        </w:rPr>
        <w:t xml:space="preserve"> network</w:t>
      </w:r>
      <w:r w:rsidR="006B763E">
        <w:rPr>
          <w:rFonts w:eastAsiaTheme="minorEastAsia"/>
          <w:sz w:val="24"/>
          <w:szCs w:val="24"/>
        </w:rPr>
        <w:t>,</w:t>
      </w:r>
      <w:r w:rsidRPr="003145A6">
        <w:rPr>
          <w:rFonts w:eastAsiaTheme="minorEastAsia"/>
          <w:sz w:val="24"/>
          <w:szCs w:val="24"/>
        </w:rPr>
        <w:t xml:space="preserve"> edges are a function of the variance-covariance matrix of bank equity returns.</w:t>
      </w:r>
      <w:r w:rsidR="004F3AE5">
        <w:rPr>
          <w:rFonts w:eastAsiaTheme="minorEastAsia"/>
          <w:sz w:val="24"/>
          <w:szCs w:val="24"/>
        </w:rPr>
        <w:t xml:space="preserve"> </w:t>
      </w:r>
      <w:r w:rsidR="00B720E1">
        <w:rPr>
          <w:rFonts w:eastAsiaTheme="minorEastAsia"/>
          <w:sz w:val="24"/>
          <w:szCs w:val="24"/>
        </w:rPr>
        <w:t>F</w:t>
      </w:r>
      <w:r w:rsidRPr="003145A6">
        <w:rPr>
          <w:rFonts w:eastAsiaTheme="minorEastAsia"/>
          <w:sz w:val="24"/>
          <w:szCs w:val="24"/>
        </w:rPr>
        <w:t>ollowing Billio et al</w:t>
      </w:r>
      <w:r w:rsidR="00503540">
        <w:rPr>
          <w:rFonts w:eastAsiaTheme="minorEastAsia"/>
          <w:sz w:val="24"/>
          <w:szCs w:val="24"/>
        </w:rPr>
        <w:t>.</w:t>
      </w:r>
      <w:r w:rsidRPr="003145A6">
        <w:rPr>
          <w:rFonts w:eastAsiaTheme="minorEastAsia"/>
          <w:sz w:val="24"/>
          <w:szCs w:val="24"/>
        </w:rPr>
        <w:t xml:space="preserve"> (2012)</w:t>
      </w:r>
      <w:r w:rsidR="00503540">
        <w:rPr>
          <w:rFonts w:eastAsiaTheme="minorEastAsia"/>
          <w:sz w:val="24"/>
          <w:szCs w:val="24"/>
        </w:rPr>
        <w:t>, w</w:t>
      </w:r>
      <w:r w:rsidRPr="003145A6">
        <w:rPr>
          <w:rFonts w:eastAsiaTheme="minorEastAsia"/>
          <w:sz w:val="24"/>
          <w:szCs w:val="24"/>
        </w:rPr>
        <w:t xml:space="preserve">e first compute rate of returns of bank </w:t>
      </w:r>
      <w:r w:rsidRPr="003145A6">
        <w:rPr>
          <w:rFonts w:eastAsiaTheme="minorEastAsia"/>
          <w:i/>
          <w:sz w:val="24"/>
          <w:szCs w:val="24"/>
        </w:rPr>
        <w:t>i</w:t>
      </w:r>
      <w:r w:rsidRPr="003145A6">
        <w:rPr>
          <w:rFonts w:eastAsiaTheme="minorEastAsia"/>
          <w:sz w:val="24"/>
          <w:szCs w:val="24"/>
        </w:rPr>
        <w:t>’s equity</w:t>
      </w:r>
    </w:p>
    <w:p w14:paraId="01EDD066" w14:textId="77777777" w:rsidR="0069181D" w:rsidRPr="003145A6" w:rsidRDefault="00851398" w:rsidP="0069181D">
      <w:pPr>
        <w:spacing w:line="480" w:lineRule="auto"/>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i,t</m:t>
              </m:r>
            </m:sub>
          </m:sSub>
          <m:r>
            <w:rPr>
              <w:rFonts w:ascii="Cambria Math" w:eastAsiaTheme="minorEastAsia" w:hAnsi="Cambria Math"/>
              <w:sz w:val="24"/>
              <w:szCs w:val="24"/>
            </w:rPr>
            <m:t>=ln</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i,t</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i,t-1</m:t>
                      </m:r>
                    </m:sub>
                  </m:sSub>
                </m:den>
              </m:f>
            </m:e>
          </m:d>
        </m:oMath>
      </m:oMathPara>
    </w:p>
    <w:p w14:paraId="1B609107" w14:textId="77777777" w:rsidR="0069181D" w:rsidRPr="003145A6" w:rsidRDefault="0069181D" w:rsidP="00985C7B">
      <w:pPr>
        <w:spacing w:line="480" w:lineRule="auto"/>
        <w:jc w:val="both"/>
        <w:rPr>
          <w:rFonts w:eastAsiaTheme="minorEastAsia"/>
          <w:sz w:val="24"/>
          <w:szCs w:val="24"/>
        </w:rPr>
      </w:pPr>
      <w:r w:rsidRPr="003145A6">
        <w:rPr>
          <w:rFonts w:eastAsiaTheme="minorEastAsia"/>
          <w:sz w:val="24"/>
          <w:szCs w:val="24"/>
        </w:rPr>
        <w:t xml:space="preserve">and then filter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i,t</m:t>
            </m:r>
          </m:sub>
        </m:sSub>
      </m:oMath>
      <w:r w:rsidRPr="003145A6">
        <w:rPr>
          <w:rFonts w:eastAsiaTheme="minorEastAsia"/>
          <w:sz w:val="24"/>
          <w:szCs w:val="24"/>
        </w:rPr>
        <w:t xml:space="preserve"> using a standard GARCH(1,1) model. For each pair of bank returns, </w:t>
      </w:r>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U</m:t>
            </m:r>
          </m:e>
          <m:sub>
            <m:r>
              <w:rPr>
                <w:rFonts w:ascii="Cambria Math" w:eastAsiaTheme="minorEastAsia" w:hAnsi="Cambria Math"/>
                <w:sz w:val="24"/>
                <w:szCs w:val="24"/>
              </w:rPr>
              <m:t>t</m:t>
            </m:r>
          </m:sub>
        </m:sSub>
      </m:oMath>
      <w:r w:rsidRPr="003145A6">
        <w:rPr>
          <w:rFonts w:eastAsiaTheme="minorEastAsia"/>
          <w:sz w:val="24"/>
          <w:szCs w:val="24"/>
        </w:rPr>
        <w:t>, we run the following VAR</w:t>
      </w:r>
    </w:p>
    <w:p w14:paraId="62A88752" w14:textId="77777777" w:rsidR="0069181D" w:rsidRPr="003145A6" w:rsidRDefault="0069181D" w:rsidP="0069181D">
      <w:pPr>
        <w:spacing w:line="480" w:lineRule="auto"/>
        <w:rPr>
          <w:rFonts w:eastAsiaTheme="minorEastAsia"/>
          <w:sz w:val="24"/>
          <w:szCs w:val="24"/>
        </w:rPr>
      </w:pPr>
      <m:oMathPara>
        <m:oMath>
          <m:r>
            <m:rPr>
              <m:sty m:val="p"/>
            </m:rPr>
            <w:rPr>
              <w:rFonts w:ascii="Cambria Math" w:eastAsiaTheme="minorEastAsia" w:hAnsi="Cambria Math"/>
              <w:sz w:val="24"/>
              <w:szCs w:val="24"/>
            </w:rPr>
            <m:t>Φ</m:t>
          </m:r>
          <m:d>
            <m:dPr>
              <m:ctrlPr>
                <w:rPr>
                  <w:rFonts w:ascii="Cambria Math" w:eastAsiaTheme="minorEastAsia" w:hAnsi="Cambria Math"/>
                  <w:i/>
                  <w:sz w:val="24"/>
                  <w:szCs w:val="24"/>
                </w:rPr>
              </m:ctrlPr>
            </m:dPr>
            <m:e>
              <m:r>
                <w:rPr>
                  <w:rFonts w:ascii="Cambria Math" w:eastAsiaTheme="minorEastAsia" w:hAnsi="Cambria Math"/>
                  <w:sz w:val="24"/>
                  <w:szCs w:val="24"/>
                </w:rPr>
                <m:t>L</m:t>
              </m:r>
            </m:e>
          </m:d>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U</m:t>
              </m:r>
            </m:e>
            <m:sub>
              <m:r>
                <w:rPr>
                  <w:rFonts w:ascii="Cambria Math" w:eastAsiaTheme="minorEastAsia" w:hAnsi="Cambria Math"/>
                  <w:sz w:val="24"/>
                  <w:szCs w:val="24"/>
                </w:rPr>
                <m:t>t</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V</m:t>
              </m:r>
            </m:e>
            <m:sub>
              <m:r>
                <w:rPr>
                  <w:rFonts w:ascii="Cambria Math" w:eastAsiaTheme="minorEastAsia" w:hAnsi="Cambria Math"/>
                  <w:sz w:val="24"/>
                  <w:szCs w:val="24"/>
                </w:rPr>
                <m:t>t</m:t>
              </m:r>
            </m:sub>
          </m:sSub>
          <m:r>
            <w:rPr>
              <w:rFonts w:ascii="Cambria Math" w:eastAsiaTheme="minorEastAsia" w:hAnsi="Cambria Math"/>
              <w:sz w:val="24"/>
              <w:szCs w:val="24"/>
            </w:rPr>
            <m:t xml:space="preserve">       (7)</m:t>
          </m:r>
        </m:oMath>
      </m:oMathPara>
    </w:p>
    <w:p w14:paraId="765C3418" w14:textId="1A334287" w:rsidR="0069181D" w:rsidRPr="003145A6" w:rsidRDefault="0069181D" w:rsidP="0069181D">
      <w:pPr>
        <w:spacing w:line="480" w:lineRule="auto"/>
        <w:rPr>
          <w:rFonts w:eastAsiaTheme="minorEastAsia"/>
          <w:sz w:val="24"/>
          <w:szCs w:val="24"/>
        </w:rPr>
      </w:pPr>
      <w:r w:rsidRPr="003145A6">
        <w:rPr>
          <w:rFonts w:eastAsiaTheme="minorEastAsia"/>
          <w:sz w:val="24"/>
          <w:szCs w:val="24"/>
        </w:rPr>
        <w:t xml:space="preserve">where </w:t>
      </w:r>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V</m:t>
            </m:r>
          </m:e>
          <m:sub>
            <m:r>
              <w:rPr>
                <w:rFonts w:ascii="Cambria Math" w:eastAsiaTheme="minorEastAsia" w:hAnsi="Cambria Math"/>
                <w:sz w:val="24"/>
                <w:szCs w:val="24"/>
              </w:rPr>
              <m:t>t</m:t>
            </m:r>
          </m:sub>
        </m:sSub>
        <m:r>
          <w:rPr>
            <w:rFonts w:ascii="Cambria Math" w:eastAsiaTheme="minorEastAsia" w:hAnsi="Cambria Math"/>
            <w:sz w:val="24"/>
            <w:szCs w:val="24"/>
          </w:rPr>
          <m:t>~</m:t>
        </m:r>
        <m:r>
          <m:rPr>
            <m:sty m:val="p"/>
          </m:rPr>
          <w:rPr>
            <w:rFonts w:ascii="Cambria Math" w:eastAsiaTheme="minorEastAsia" w:hAnsi="Cambria Math"/>
            <w:sz w:val="24"/>
            <w:szCs w:val="24"/>
          </w:rPr>
          <m:t>Λ</m:t>
        </m:r>
        <m:d>
          <m:dPr>
            <m:ctrlPr>
              <w:rPr>
                <w:rFonts w:ascii="Cambria Math" w:eastAsiaTheme="minorEastAsia" w:hAnsi="Cambria Math"/>
                <w:i/>
                <w:sz w:val="24"/>
                <w:szCs w:val="24"/>
              </w:rPr>
            </m:ctrlPr>
          </m:dPr>
          <m:e>
            <m:r>
              <w:rPr>
                <w:rFonts w:ascii="Cambria Math" w:eastAsiaTheme="minorEastAsia" w:hAnsi="Cambria Math"/>
                <w:sz w:val="24"/>
                <w:szCs w:val="24"/>
              </w:rPr>
              <m:t>0,</m:t>
            </m:r>
            <m:r>
              <m:rPr>
                <m:sty m:val="b"/>
              </m:rPr>
              <w:rPr>
                <w:rFonts w:ascii="Cambria Math" w:eastAsiaTheme="minorEastAsia" w:hAnsi="Cambria Math"/>
                <w:sz w:val="24"/>
                <w:szCs w:val="24"/>
              </w:rPr>
              <m:t>Σ</m:t>
            </m:r>
          </m:e>
        </m:d>
      </m:oMath>
      <w:r w:rsidRPr="003145A6">
        <w:rPr>
          <w:rFonts w:eastAsiaTheme="minorEastAsia"/>
          <w:sz w:val="24"/>
          <w:szCs w:val="24"/>
        </w:rPr>
        <w:t>, and test the following null</w:t>
      </w:r>
      <w:r w:rsidR="004B39A4">
        <w:rPr>
          <w:rFonts w:eastAsiaTheme="minorEastAsia"/>
          <w:sz w:val="24"/>
          <w:szCs w:val="24"/>
        </w:rPr>
        <w:t>:</w:t>
      </w:r>
    </w:p>
    <w:p w14:paraId="4A477EB8" w14:textId="77777777" w:rsidR="0069181D" w:rsidRPr="003145A6" w:rsidRDefault="00851398" w:rsidP="0069181D">
      <w:pPr>
        <w:spacing w:line="480" w:lineRule="auto"/>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m:t>
          </m:r>
          <m:acc>
            <m:accPr>
              <m:ctrlPr>
                <w:rPr>
                  <w:rFonts w:ascii="Cambria Math" w:eastAsiaTheme="minorEastAsia" w:hAnsi="Cambria Math"/>
                  <w:i/>
                  <w:sz w:val="24"/>
                  <w:szCs w:val="24"/>
                </w:rPr>
              </m:ctrlPr>
            </m:accPr>
            <m:e>
              <m:r>
                <m:rPr>
                  <m:sty m:val="p"/>
                </m:rPr>
                <w:rPr>
                  <w:rFonts w:ascii="Cambria Math" w:eastAsiaTheme="minorEastAsia" w:hAnsi="Cambria Math"/>
                  <w:sz w:val="24"/>
                  <w:szCs w:val="24"/>
                </w:rPr>
                <m:t>Φ</m:t>
              </m:r>
            </m:e>
          </m:acc>
          <m:d>
            <m:dPr>
              <m:ctrlPr>
                <w:rPr>
                  <w:rFonts w:ascii="Cambria Math" w:eastAsiaTheme="minorEastAsia" w:hAnsi="Cambria Math"/>
                  <w:i/>
                  <w:sz w:val="24"/>
                  <w:szCs w:val="24"/>
                </w:rPr>
              </m:ctrlPr>
            </m:dPr>
            <m:e>
              <m:r>
                <w:rPr>
                  <w:rFonts w:ascii="Cambria Math" w:eastAsiaTheme="minorEastAsia" w:hAnsi="Cambria Math"/>
                  <w:sz w:val="24"/>
                  <w:szCs w:val="24"/>
                </w:rPr>
                <m:t>L</m:t>
              </m:r>
            </m:e>
          </m:d>
          <m:r>
            <w:rPr>
              <w:rFonts w:ascii="Cambria Math" w:eastAsiaTheme="minorEastAsia" w:hAnsi="Cambria Math"/>
              <w:sz w:val="24"/>
              <w:szCs w:val="24"/>
            </w:rPr>
            <m:t>=0        (8)</m:t>
          </m:r>
        </m:oMath>
      </m:oMathPara>
    </w:p>
    <w:p w14:paraId="07AAC5A4" w14:textId="2695177B" w:rsidR="005A3320" w:rsidRPr="005A3320" w:rsidRDefault="0069181D" w:rsidP="00985C7B">
      <w:pPr>
        <w:spacing w:line="480" w:lineRule="auto"/>
        <w:jc w:val="both"/>
        <w:rPr>
          <w:rFonts w:eastAsiaTheme="minorEastAsia"/>
          <w:sz w:val="24"/>
          <w:szCs w:val="24"/>
        </w:rPr>
      </w:pPr>
      <w:r w:rsidRPr="003145A6">
        <w:rPr>
          <w:rFonts w:eastAsiaTheme="minorEastAsia"/>
          <w:sz w:val="24"/>
          <w:szCs w:val="24"/>
        </w:rPr>
        <w:t xml:space="preserve">where </w:t>
      </w:r>
      <m:oMath>
        <m:acc>
          <m:accPr>
            <m:ctrlPr>
              <w:rPr>
                <w:rFonts w:ascii="Cambria Math" w:eastAsiaTheme="minorEastAsia" w:hAnsi="Cambria Math"/>
                <w:i/>
                <w:sz w:val="24"/>
                <w:szCs w:val="24"/>
              </w:rPr>
            </m:ctrlPr>
          </m:accPr>
          <m:e>
            <m:r>
              <m:rPr>
                <m:sty m:val="p"/>
              </m:rPr>
              <w:rPr>
                <w:rFonts w:ascii="Cambria Math" w:eastAsiaTheme="minorEastAsia" w:hAnsi="Cambria Math"/>
                <w:sz w:val="24"/>
                <w:szCs w:val="24"/>
              </w:rPr>
              <m:t>Φ</m:t>
            </m:r>
          </m:e>
        </m:acc>
        <m:d>
          <m:dPr>
            <m:ctrlPr>
              <w:rPr>
                <w:rFonts w:ascii="Cambria Math" w:eastAsiaTheme="minorEastAsia" w:hAnsi="Cambria Math"/>
                <w:i/>
                <w:sz w:val="24"/>
                <w:szCs w:val="24"/>
              </w:rPr>
            </m:ctrlPr>
          </m:dPr>
          <m:e>
            <m:r>
              <w:rPr>
                <w:rFonts w:ascii="Cambria Math" w:eastAsiaTheme="minorEastAsia" w:hAnsi="Cambria Math"/>
                <w:sz w:val="24"/>
                <w:szCs w:val="24"/>
              </w:rPr>
              <m:t>L</m:t>
            </m:r>
          </m:e>
        </m:d>
      </m:oMath>
      <w:r w:rsidRPr="003145A6">
        <w:rPr>
          <w:rFonts w:eastAsiaTheme="minorEastAsia"/>
          <w:sz w:val="24"/>
          <w:szCs w:val="24"/>
        </w:rPr>
        <w:t xml:space="preserve"> refers to the off-diagonal terms of </w:t>
      </w:r>
      <m:oMath>
        <m:r>
          <m:rPr>
            <m:sty m:val="p"/>
          </m:rPr>
          <w:rPr>
            <w:rFonts w:ascii="Cambria Math" w:eastAsiaTheme="minorEastAsia" w:hAnsi="Cambria Math"/>
            <w:sz w:val="24"/>
            <w:szCs w:val="24"/>
          </w:rPr>
          <m:t>Φ</m:t>
        </m:r>
        <m:d>
          <m:dPr>
            <m:ctrlPr>
              <w:rPr>
                <w:rFonts w:ascii="Cambria Math" w:eastAsiaTheme="minorEastAsia" w:hAnsi="Cambria Math"/>
                <w:i/>
                <w:sz w:val="24"/>
                <w:szCs w:val="24"/>
              </w:rPr>
            </m:ctrlPr>
          </m:dPr>
          <m:e>
            <m:r>
              <w:rPr>
                <w:rFonts w:ascii="Cambria Math" w:eastAsiaTheme="minorEastAsia" w:hAnsi="Cambria Math"/>
                <w:sz w:val="24"/>
                <w:szCs w:val="24"/>
              </w:rPr>
              <m:t>L</m:t>
            </m:r>
          </m:e>
        </m:d>
      </m:oMath>
      <w:r w:rsidRPr="003145A6">
        <w:rPr>
          <w:rFonts w:eastAsiaTheme="minorEastAsia"/>
          <w:sz w:val="24"/>
          <w:szCs w:val="24"/>
        </w:rPr>
        <w:t xml:space="preserve"> estimated by OLS. This is a standard Wald test with covariance matrix equal to </w:t>
      </w:r>
      <m:oMath>
        <m:sSup>
          <m:sSupPr>
            <m:ctrlPr>
              <w:rPr>
                <w:rFonts w:ascii="Cambria Math" w:eastAsiaTheme="minorEastAsia" w:hAnsi="Cambria Math"/>
                <w:i/>
                <w:sz w:val="24"/>
                <w:szCs w:val="24"/>
              </w:rPr>
            </m:ctrlPr>
          </m:sSupPr>
          <m:e>
            <m:r>
              <m:rPr>
                <m:sty m:val="bi"/>
              </m:rPr>
              <w:rPr>
                <w:rFonts w:ascii="Cambria Math" w:eastAsiaTheme="minorEastAsia" w:hAnsi="Cambria Math"/>
                <w:sz w:val="24"/>
                <w:szCs w:val="24"/>
              </w:rPr>
              <m:t>V</m:t>
            </m:r>
          </m:e>
          <m:sup>
            <m:r>
              <w:rPr>
                <w:rFonts w:ascii="Cambria Math" w:eastAsiaTheme="minorEastAsia" w:hAnsi="Cambria Math"/>
                <w:sz w:val="24"/>
                <w:szCs w:val="24"/>
              </w:rPr>
              <m:t>'</m:t>
            </m:r>
          </m:sup>
        </m:sSup>
        <m:sSup>
          <m:sSupPr>
            <m:ctrlPr>
              <w:rPr>
                <w:rFonts w:ascii="Cambria Math" w:eastAsiaTheme="minorEastAsia" w:hAnsi="Cambria Math"/>
                <w:i/>
                <w:sz w:val="24"/>
                <w:szCs w:val="24"/>
              </w:rPr>
            </m:ctrlPr>
          </m:sSupPr>
          <m:e>
            <m:r>
              <m:rPr>
                <m:sty m:val="b"/>
              </m:rPr>
              <w:rPr>
                <w:rFonts w:ascii="Cambria Math" w:eastAsiaTheme="minorEastAsia" w:hAnsi="Cambria Math"/>
                <w:sz w:val="24"/>
                <w:szCs w:val="24"/>
              </w:rPr>
              <m:t>Σ</m:t>
            </m:r>
          </m:e>
          <m:sup>
            <m:r>
              <w:rPr>
                <w:rFonts w:ascii="Cambria Math" w:eastAsiaTheme="minorEastAsia" w:hAnsi="Cambria Math"/>
                <w:sz w:val="24"/>
                <w:szCs w:val="24"/>
              </w:rPr>
              <m:t>-1</m:t>
            </m:r>
          </m:sup>
        </m:sSup>
        <m:r>
          <m:rPr>
            <m:sty m:val="bi"/>
          </m:rPr>
          <w:rPr>
            <w:rFonts w:ascii="Cambria Math" w:eastAsiaTheme="minorEastAsia" w:hAnsi="Cambria Math"/>
            <w:sz w:val="24"/>
            <w:szCs w:val="24"/>
          </w:rPr>
          <m:t>V</m:t>
        </m:r>
      </m:oMath>
      <w:r w:rsidRPr="003145A6">
        <w:rPr>
          <w:rFonts w:eastAsiaTheme="minorEastAsia"/>
          <w:sz w:val="24"/>
          <w:szCs w:val="24"/>
        </w:rPr>
        <w:t xml:space="preserve">. Rejecting the null in (8) produces an edge between the returns of the two banks in </w:t>
      </w:r>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U</m:t>
            </m:r>
          </m:e>
          <m:sub>
            <m:r>
              <w:rPr>
                <w:rFonts w:ascii="Cambria Math" w:eastAsiaTheme="minorEastAsia" w:hAnsi="Cambria Math"/>
                <w:sz w:val="24"/>
                <w:szCs w:val="24"/>
              </w:rPr>
              <m:t>t</m:t>
            </m:r>
          </m:sub>
        </m:sSub>
      </m:oMath>
      <w:r w:rsidRPr="003145A6">
        <w:rPr>
          <w:rFonts w:eastAsiaTheme="minorEastAsia"/>
          <w:sz w:val="24"/>
          <w:szCs w:val="24"/>
        </w:rPr>
        <w:t>.</w:t>
      </w:r>
      <w:r w:rsidRPr="003145A6">
        <w:rPr>
          <w:rStyle w:val="FootnoteReference"/>
          <w:rFonts w:eastAsiaTheme="minorEastAsia"/>
          <w:sz w:val="24"/>
          <w:szCs w:val="24"/>
        </w:rPr>
        <w:footnoteReference w:id="8"/>
      </w:r>
      <w:r w:rsidRPr="003145A6">
        <w:rPr>
          <w:rFonts w:eastAsiaTheme="minorEastAsia"/>
          <w:sz w:val="24"/>
          <w:szCs w:val="24"/>
        </w:rPr>
        <w:t xml:space="preserve"> </w:t>
      </w:r>
      <w:r w:rsidR="002B2D47" w:rsidRPr="002B2D47">
        <w:t xml:space="preserve"> </w:t>
      </w:r>
    </w:p>
    <w:p w14:paraId="671CFAF7" w14:textId="7FF2B9C5" w:rsidR="0069181D" w:rsidRDefault="008C66A7" w:rsidP="00985C7B">
      <w:pPr>
        <w:spacing w:line="480" w:lineRule="auto"/>
        <w:ind w:firstLine="720"/>
        <w:jc w:val="both"/>
        <w:rPr>
          <w:rFonts w:eastAsiaTheme="minorEastAsia"/>
          <w:sz w:val="24"/>
          <w:szCs w:val="24"/>
        </w:rPr>
      </w:pPr>
      <w:r>
        <w:rPr>
          <w:rFonts w:eastAsiaTheme="minorEastAsia"/>
          <w:sz w:val="24"/>
          <w:szCs w:val="24"/>
        </w:rPr>
        <w:t>N</w:t>
      </w:r>
      <w:r w:rsidR="0069181D" w:rsidRPr="003145A6">
        <w:rPr>
          <w:rFonts w:eastAsiaTheme="minorEastAsia"/>
          <w:sz w:val="24"/>
          <w:szCs w:val="24"/>
        </w:rPr>
        <w:t xml:space="preserve">ote that while the </w:t>
      </w:r>
      <w:r w:rsidR="0050711A">
        <w:rPr>
          <w:sz w:val="24"/>
          <w:szCs w:val="24"/>
        </w:rPr>
        <w:t xml:space="preserve">physical </w:t>
      </w:r>
      <w:r w:rsidR="0069181D" w:rsidRPr="003145A6">
        <w:rPr>
          <w:rFonts w:eastAsiaTheme="minorEastAsia"/>
          <w:sz w:val="24"/>
          <w:szCs w:val="24"/>
        </w:rPr>
        <w:t xml:space="preserve">network </w:t>
      </w:r>
      <w:r>
        <w:rPr>
          <w:rFonts w:eastAsiaTheme="minorEastAsia"/>
          <w:sz w:val="24"/>
          <w:szCs w:val="24"/>
        </w:rPr>
        <w:t xml:space="preserve">of interbank trades </w:t>
      </w:r>
      <w:r w:rsidR="0069181D" w:rsidRPr="003145A6">
        <w:rPr>
          <w:rFonts w:eastAsiaTheme="minorEastAsia"/>
          <w:sz w:val="24"/>
          <w:szCs w:val="24"/>
        </w:rPr>
        <w:t xml:space="preserve">is directly observable, the </w:t>
      </w:r>
      <w:r w:rsidR="00777A0D" w:rsidRPr="003145A6">
        <w:rPr>
          <w:rFonts w:eastAsiaTheme="minorEastAsia"/>
          <w:sz w:val="24"/>
          <w:szCs w:val="24"/>
        </w:rPr>
        <w:t>correlation</w:t>
      </w:r>
      <w:r w:rsidR="0069181D" w:rsidRPr="003145A6">
        <w:rPr>
          <w:rFonts w:eastAsiaTheme="minorEastAsia"/>
          <w:sz w:val="24"/>
          <w:szCs w:val="24"/>
        </w:rPr>
        <w:t xml:space="preserve"> network </w:t>
      </w:r>
      <w:r>
        <w:rPr>
          <w:rFonts w:eastAsiaTheme="minorEastAsia"/>
          <w:sz w:val="24"/>
          <w:szCs w:val="24"/>
        </w:rPr>
        <w:t xml:space="preserve">based on equity returns </w:t>
      </w:r>
      <w:r w:rsidR="0069181D" w:rsidRPr="003145A6">
        <w:rPr>
          <w:rFonts w:eastAsiaTheme="minorEastAsia"/>
          <w:sz w:val="24"/>
          <w:szCs w:val="24"/>
        </w:rPr>
        <w:t xml:space="preserve">is the result of a testing procedure </w:t>
      </w:r>
      <w:r w:rsidR="0069181D" w:rsidRPr="003145A6">
        <w:rPr>
          <w:rFonts w:eastAsiaTheme="minorEastAsia"/>
          <w:sz w:val="24"/>
          <w:szCs w:val="24"/>
        </w:rPr>
        <w:lastRenderedPageBreak/>
        <w:t>which, in addition to the classic type I and II errors, is a function of the model specification in (7).</w:t>
      </w:r>
      <w:r w:rsidR="00553405" w:rsidRPr="00553405">
        <w:rPr>
          <w:rStyle w:val="FootnoteReference"/>
          <w:sz w:val="24"/>
          <w:szCs w:val="24"/>
        </w:rPr>
        <w:t xml:space="preserve"> </w:t>
      </w:r>
      <w:r w:rsidR="00553405" w:rsidRPr="00C74A1C">
        <w:rPr>
          <w:rStyle w:val="FootnoteReference"/>
          <w:sz w:val="24"/>
          <w:szCs w:val="24"/>
        </w:rPr>
        <w:footnoteReference w:id="9"/>
      </w:r>
    </w:p>
    <w:p w14:paraId="214293C0" w14:textId="77777777" w:rsidR="0068003F" w:rsidRPr="003145A6" w:rsidRDefault="0068003F" w:rsidP="000E438C">
      <w:pPr>
        <w:spacing w:line="480" w:lineRule="auto"/>
        <w:rPr>
          <w:rFonts w:eastAsiaTheme="minorEastAsia"/>
          <w:sz w:val="24"/>
          <w:szCs w:val="24"/>
        </w:rPr>
      </w:pPr>
    </w:p>
    <w:p w14:paraId="4B4241E8" w14:textId="77777777" w:rsidR="00907617" w:rsidRPr="00DF40DD" w:rsidRDefault="00DF40DD" w:rsidP="0085633E">
      <w:pPr>
        <w:spacing w:line="480" w:lineRule="auto"/>
        <w:rPr>
          <w:b/>
          <w:sz w:val="28"/>
          <w:szCs w:val="28"/>
        </w:rPr>
      </w:pPr>
      <w:r w:rsidRPr="00DF40DD">
        <w:rPr>
          <w:b/>
          <w:sz w:val="28"/>
          <w:szCs w:val="28"/>
        </w:rPr>
        <w:t xml:space="preserve">4. </w:t>
      </w:r>
      <w:r w:rsidR="00907617" w:rsidRPr="00DF40DD">
        <w:rPr>
          <w:b/>
          <w:sz w:val="28"/>
          <w:szCs w:val="28"/>
        </w:rPr>
        <w:t>Data</w:t>
      </w:r>
    </w:p>
    <w:p w14:paraId="466B3C34" w14:textId="40CE3334" w:rsidR="000B535A" w:rsidRPr="00C74A1C" w:rsidRDefault="00433061" w:rsidP="00DC256D">
      <w:pPr>
        <w:pStyle w:val="ListParagraph"/>
        <w:spacing w:line="480" w:lineRule="auto"/>
        <w:ind w:left="0" w:firstLine="720"/>
        <w:jc w:val="both"/>
        <w:rPr>
          <w:sz w:val="24"/>
          <w:szCs w:val="24"/>
        </w:rPr>
      </w:pPr>
      <w:r>
        <w:rPr>
          <w:sz w:val="24"/>
          <w:szCs w:val="24"/>
        </w:rPr>
        <w:t xml:space="preserve">The data required to construct correlation and physical networks highlight the </w:t>
      </w:r>
      <w:r>
        <w:rPr>
          <w:sz w:val="24"/>
          <w:szCs w:val="24"/>
        </w:rPr>
        <w:t>unique composition of both</w:t>
      </w:r>
      <w:r>
        <w:rPr>
          <w:sz w:val="24"/>
          <w:szCs w:val="24"/>
        </w:rPr>
        <w:t xml:space="preserve"> networks.</w:t>
      </w:r>
      <w:r w:rsidR="00553405">
        <w:rPr>
          <w:sz w:val="24"/>
          <w:szCs w:val="24"/>
        </w:rPr>
        <w:t xml:space="preserve"> O</w:t>
      </w:r>
      <w:r w:rsidR="00553405">
        <w:rPr>
          <w:sz w:val="24"/>
          <w:szCs w:val="24"/>
        </w:rPr>
        <w:t>ur e-MID physical trading data includes 207 unique banks</w:t>
      </w:r>
      <w:r w:rsidR="00553405">
        <w:rPr>
          <w:sz w:val="24"/>
          <w:szCs w:val="24"/>
        </w:rPr>
        <w:t>, with a diminishing number over time as the crisis progressed.</w:t>
      </w:r>
      <w:r w:rsidR="00553405">
        <w:rPr>
          <w:rStyle w:val="FootnoteReference"/>
          <w:rFonts w:eastAsiaTheme="minorEastAsia"/>
          <w:sz w:val="24"/>
          <w:szCs w:val="24"/>
        </w:rPr>
        <w:footnoteReference w:id="10"/>
      </w:r>
      <w:r w:rsidR="00553405">
        <w:rPr>
          <w:sz w:val="24"/>
          <w:szCs w:val="24"/>
        </w:rPr>
        <w:t xml:space="preserve"> </w:t>
      </w:r>
      <w:r w:rsidR="00553405">
        <w:rPr>
          <w:sz w:val="24"/>
          <w:szCs w:val="24"/>
        </w:rPr>
        <w:t>However, on</w:t>
      </w:r>
      <w:r w:rsidR="00553405">
        <w:rPr>
          <w:sz w:val="24"/>
          <w:szCs w:val="24"/>
        </w:rPr>
        <w:t>ly 29 of these banks are publicly-traded</w:t>
      </w:r>
      <w:r w:rsidR="00553405">
        <w:rPr>
          <w:sz w:val="24"/>
          <w:szCs w:val="24"/>
        </w:rPr>
        <w:t>, so construction of correlation networks is limited to this smaller set of banks</w:t>
      </w:r>
      <w:r w:rsidR="00553405">
        <w:rPr>
          <w:sz w:val="24"/>
          <w:szCs w:val="24"/>
        </w:rPr>
        <w:t>.</w:t>
      </w:r>
      <w:r w:rsidR="00553405">
        <w:rPr>
          <w:sz w:val="24"/>
          <w:szCs w:val="24"/>
        </w:rPr>
        <w:t xml:space="preserve"> </w:t>
      </w:r>
      <w:r w:rsidR="00D12778">
        <w:rPr>
          <w:sz w:val="24"/>
          <w:szCs w:val="24"/>
        </w:rPr>
        <w:t>O</w:t>
      </w:r>
      <w:r w:rsidR="00372FD6">
        <w:rPr>
          <w:sz w:val="24"/>
          <w:szCs w:val="24"/>
        </w:rPr>
        <w:t xml:space="preserve">nly in rare cases will a partial </w:t>
      </w:r>
      <w:r w:rsidR="00D12778">
        <w:rPr>
          <w:sz w:val="24"/>
          <w:szCs w:val="24"/>
        </w:rPr>
        <w:t xml:space="preserve">physical </w:t>
      </w:r>
      <w:r w:rsidR="00372FD6">
        <w:rPr>
          <w:sz w:val="24"/>
          <w:szCs w:val="24"/>
        </w:rPr>
        <w:t xml:space="preserve">network </w:t>
      </w:r>
      <w:r w:rsidR="00D12778">
        <w:rPr>
          <w:sz w:val="24"/>
          <w:szCs w:val="24"/>
        </w:rPr>
        <w:t xml:space="preserve">of 29 banks </w:t>
      </w:r>
      <w:r w:rsidR="00372FD6">
        <w:rPr>
          <w:sz w:val="24"/>
          <w:szCs w:val="24"/>
        </w:rPr>
        <w:t xml:space="preserve">fully capture </w:t>
      </w:r>
      <w:r w:rsidR="008B5792">
        <w:rPr>
          <w:sz w:val="24"/>
          <w:szCs w:val="24"/>
        </w:rPr>
        <w:t xml:space="preserve">how </w:t>
      </w:r>
      <w:r w:rsidR="00553405">
        <w:rPr>
          <w:sz w:val="24"/>
          <w:szCs w:val="24"/>
        </w:rPr>
        <w:t>they</w:t>
      </w:r>
      <w:r w:rsidR="008B5792">
        <w:rPr>
          <w:sz w:val="24"/>
          <w:szCs w:val="24"/>
        </w:rPr>
        <w:t xml:space="preserve"> </w:t>
      </w:r>
      <w:r w:rsidR="00D12778">
        <w:rPr>
          <w:sz w:val="24"/>
          <w:szCs w:val="24"/>
        </w:rPr>
        <w:t xml:space="preserve">trade with </w:t>
      </w:r>
      <w:r w:rsidR="00372FD6">
        <w:rPr>
          <w:sz w:val="24"/>
          <w:szCs w:val="24"/>
        </w:rPr>
        <w:t>each other, since the</w:t>
      </w:r>
      <w:r w:rsidR="00D12778">
        <w:rPr>
          <w:sz w:val="24"/>
          <w:szCs w:val="24"/>
        </w:rPr>
        <w:t>ir trades with the other 17</w:t>
      </w:r>
      <w:r w:rsidR="00553405">
        <w:rPr>
          <w:sz w:val="24"/>
          <w:szCs w:val="24"/>
        </w:rPr>
        <w:t>8</w:t>
      </w:r>
      <w:r w:rsidR="00D12778">
        <w:rPr>
          <w:sz w:val="24"/>
          <w:szCs w:val="24"/>
        </w:rPr>
        <w:t xml:space="preserve"> banks would be excluded</w:t>
      </w:r>
      <w:r w:rsidR="00284C42" w:rsidRPr="00E94552">
        <w:rPr>
          <w:sz w:val="24"/>
          <w:szCs w:val="24"/>
        </w:rPr>
        <w:t>.</w:t>
      </w:r>
      <w:r w:rsidR="003A5106">
        <w:rPr>
          <w:rStyle w:val="FootnoteReference"/>
          <w:sz w:val="24"/>
          <w:szCs w:val="24"/>
        </w:rPr>
        <w:footnoteReference w:id="11"/>
      </w:r>
      <w:r w:rsidR="000B535A">
        <w:rPr>
          <w:sz w:val="24"/>
          <w:szCs w:val="24"/>
        </w:rPr>
        <w:t xml:space="preserve"> </w:t>
      </w:r>
    </w:p>
    <w:p w14:paraId="0C38ACEC" w14:textId="6C57C0FD" w:rsidR="00907617" w:rsidRDefault="00DC256D" w:rsidP="008270D9">
      <w:pPr>
        <w:pStyle w:val="ListParagraph"/>
        <w:spacing w:line="480" w:lineRule="auto"/>
        <w:ind w:left="0" w:firstLine="720"/>
        <w:jc w:val="both"/>
        <w:rPr>
          <w:sz w:val="24"/>
          <w:szCs w:val="24"/>
        </w:rPr>
      </w:pPr>
      <w:r>
        <w:rPr>
          <w:sz w:val="24"/>
          <w:szCs w:val="24"/>
        </w:rPr>
        <w:t>Therefore</w:t>
      </w:r>
      <w:r w:rsidR="00B720E1">
        <w:rPr>
          <w:sz w:val="24"/>
          <w:szCs w:val="24"/>
        </w:rPr>
        <w:t>, w</w:t>
      </w:r>
      <w:r w:rsidR="00907617" w:rsidRPr="00C74A1C">
        <w:rPr>
          <w:sz w:val="24"/>
          <w:szCs w:val="24"/>
        </w:rPr>
        <w:t xml:space="preserve">e </w:t>
      </w:r>
      <w:r>
        <w:rPr>
          <w:sz w:val="24"/>
          <w:szCs w:val="24"/>
        </w:rPr>
        <w:t xml:space="preserve">utilize all available data and </w:t>
      </w:r>
      <w:r w:rsidR="00907617" w:rsidRPr="00C74A1C">
        <w:rPr>
          <w:sz w:val="24"/>
          <w:szCs w:val="24"/>
        </w:rPr>
        <w:t xml:space="preserve">construct the </w:t>
      </w:r>
      <w:r>
        <w:rPr>
          <w:sz w:val="24"/>
          <w:szCs w:val="24"/>
        </w:rPr>
        <w:t xml:space="preserve">physical network using all 207 banks and construct the </w:t>
      </w:r>
      <w:r w:rsidR="00DF40DD">
        <w:rPr>
          <w:sz w:val="24"/>
          <w:szCs w:val="24"/>
        </w:rPr>
        <w:t>correlation</w:t>
      </w:r>
      <w:r w:rsidR="00907617">
        <w:rPr>
          <w:sz w:val="24"/>
          <w:szCs w:val="24"/>
        </w:rPr>
        <w:t xml:space="preserve"> network</w:t>
      </w:r>
      <w:r w:rsidR="00907617" w:rsidRPr="00C74A1C">
        <w:rPr>
          <w:sz w:val="24"/>
          <w:szCs w:val="24"/>
        </w:rPr>
        <w:t xml:space="preserve"> from the set of 29 publicly-traded </w:t>
      </w:r>
      <w:r w:rsidR="00B720E1">
        <w:rPr>
          <w:sz w:val="24"/>
          <w:szCs w:val="24"/>
        </w:rPr>
        <w:t xml:space="preserve">European </w:t>
      </w:r>
      <w:r w:rsidR="00907617" w:rsidRPr="00C74A1C">
        <w:rPr>
          <w:sz w:val="24"/>
          <w:szCs w:val="24"/>
        </w:rPr>
        <w:t xml:space="preserve">banks in our e-MID dataset from </w:t>
      </w:r>
      <w:r w:rsidR="00E46029">
        <w:rPr>
          <w:sz w:val="24"/>
          <w:szCs w:val="24"/>
        </w:rPr>
        <w:t>January</w:t>
      </w:r>
      <w:r w:rsidR="00E46029" w:rsidRPr="00C74A1C">
        <w:rPr>
          <w:sz w:val="24"/>
          <w:szCs w:val="24"/>
        </w:rPr>
        <w:t xml:space="preserve"> </w:t>
      </w:r>
      <w:r w:rsidR="00907617" w:rsidRPr="00C74A1C">
        <w:rPr>
          <w:sz w:val="24"/>
          <w:szCs w:val="24"/>
        </w:rPr>
        <w:t>200</w:t>
      </w:r>
      <w:r w:rsidR="00E46029">
        <w:rPr>
          <w:sz w:val="24"/>
          <w:szCs w:val="24"/>
        </w:rPr>
        <w:t>6</w:t>
      </w:r>
      <w:r w:rsidR="00907617" w:rsidRPr="00C74A1C">
        <w:rPr>
          <w:sz w:val="24"/>
          <w:szCs w:val="24"/>
        </w:rPr>
        <w:t xml:space="preserve"> through March 201</w:t>
      </w:r>
      <w:r w:rsidR="00E46029">
        <w:rPr>
          <w:sz w:val="24"/>
          <w:szCs w:val="24"/>
        </w:rPr>
        <w:t>0</w:t>
      </w:r>
      <w:r w:rsidR="00907617" w:rsidRPr="00C74A1C">
        <w:rPr>
          <w:sz w:val="24"/>
          <w:szCs w:val="24"/>
        </w:rPr>
        <w:t xml:space="preserve">. We examine </w:t>
      </w:r>
      <w:r w:rsidR="00E46029">
        <w:rPr>
          <w:sz w:val="24"/>
          <w:szCs w:val="24"/>
        </w:rPr>
        <w:t xml:space="preserve">the full </w:t>
      </w:r>
      <w:r w:rsidR="00525E5E">
        <w:rPr>
          <w:sz w:val="24"/>
          <w:szCs w:val="24"/>
        </w:rPr>
        <w:t>time period</w:t>
      </w:r>
      <w:r w:rsidR="00E46029">
        <w:rPr>
          <w:sz w:val="24"/>
          <w:szCs w:val="24"/>
        </w:rPr>
        <w:t xml:space="preserve"> as well as </w:t>
      </w:r>
      <w:r w:rsidR="00907617" w:rsidRPr="00C74A1C">
        <w:rPr>
          <w:sz w:val="24"/>
          <w:szCs w:val="24"/>
        </w:rPr>
        <w:t>four sub-</w:t>
      </w:r>
      <w:r w:rsidR="00525E5E">
        <w:rPr>
          <w:sz w:val="24"/>
          <w:szCs w:val="24"/>
        </w:rPr>
        <w:t>period</w:t>
      </w:r>
      <w:r w:rsidR="00907617" w:rsidRPr="00C74A1C">
        <w:rPr>
          <w:sz w:val="24"/>
          <w:szCs w:val="24"/>
        </w:rPr>
        <w:t xml:space="preserve">s: 1) a pre-crisis </w:t>
      </w:r>
      <w:r w:rsidR="00907617" w:rsidRPr="00C74A1C">
        <w:rPr>
          <w:sz w:val="24"/>
          <w:szCs w:val="24"/>
        </w:rPr>
        <w:lastRenderedPageBreak/>
        <w:t xml:space="preserve">period from </w:t>
      </w:r>
      <w:r w:rsidR="00907617">
        <w:rPr>
          <w:sz w:val="24"/>
          <w:szCs w:val="24"/>
        </w:rPr>
        <w:t>January</w:t>
      </w:r>
      <w:r w:rsidR="00907617" w:rsidRPr="00C74A1C">
        <w:rPr>
          <w:sz w:val="24"/>
          <w:szCs w:val="24"/>
        </w:rPr>
        <w:t xml:space="preserve"> </w:t>
      </w:r>
      <w:r w:rsidR="00907617">
        <w:rPr>
          <w:sz w:val="24"/>
          <w:szCs w:val="24"/>
        </w:rPr>
        <w:t>2</w:t>
      </w:r>
      <w:r w:rsidR="00907617" w:rsidRPr="00C74A1C">
        <w:rPr>
          <w:sz w:val="24"/>
          <w:szCs w:val="24"/>
        </w:rPr>
        <w:t>, 200</w:t>
      </w:r>
      <w:r w:rsidR="00907617">
        <w:rPr>
          <w:sz w:val="24"/>
          <w:szCs w:val="24"/>
        </w:rPr>
        <w:t>6 until August 7,</w:t>
      </w:r>
      <w:r w:rsidR="00907617" w:rsidRPr="00C74A1C">
        <w:rPr>
          <w:sz w:val="24"/>
          <w:szCs w:val="24"/>
        </w:rPr>
        <w:t xml:space="preserve"> 2007; 2) the first crisis period (pre-Lehman) from </w:t>
      </w:r>
      <w:r w:rsidR="00907617">
        <w:rPr>
          <w:sz w:val="24"/>
          <w:szCs w:val="24"/>
        </w:rPr>
        <w:t>August 8</w:t>
      </w:r>
      <w:r w:rsidR="00907617" w:rsidRPr="00C74A1C">
        <w:rPr>
          <w:sz w:val="24"/>
          <w:szCs w:val="24"/>
        </w:rPr>
        <w:t xml:space="preserve">, 2007 until September 12, 2008; 3) the second crisis period (post-Lehman) from September 16, 2008 </w:t>
      </w:r>
      <w:r w:rsidR="00525E5E" w:rsidRPr="00C74A1C">
        <w:rPr>
          <w:sz w:val="24"/>
          <w:szCs w:val="24"/>
        </w:rPr>
        <w:t>t</w:t>
      </w:r>
      <w:r w:rsidR="00525E5E">
        <w:rPr>
          <w:sz w:val="24"/>
          <w:szCs w:val="24"/>
        </w:rPr>
        <w:t>hrough</w:t>
      </w:r>
      <w:r w:rsidR="00525E5E" w:rsidRPr="00C74A1C">
        <w:rPr>
          <w:sz w:val="24"/>
          <w:szCs w:val="24"/>
        </w:rPr>
        <w:t xml:space="preserve"> </w:t>
      </w:r>
      <w:r w:rsidR="00907617" w:rsidRPr="00C74A1C">
        <w:rPr>
          <w:sz w:val="24"/>
          <w:szCs w:val="24"/>
        </w:rPr>
        <w:t xml:space="preserve">April 1, 2009; and the </w:t>
      </w:r>
      <w:r w:rsidR="00D80493">
        <w:rPr>
          <w:sz w:val="24"/>
          <w:szCs w:val="24"/>
        </w:rPr>
        <w:t>“tentative recovery”</w:t>
      </w:r>
      <w:r w:rsidR="00525E5E">
        <w:rPr>
          <w:sz w:val="24"/>
          <w:szCs w:val="24"/>
        </w:rPr>
        <w:t xml:space="preserve"> post-crisis</w:t>
      </w:r>
      <w:r w:rsidR="00D80493">
        <w:rPr>
          <w:sz w:val="24"/>
          <w:szCs w:val="24"/>
        </w:rPr>
        <w:t xml:space="preserve"> period, </w:t>
      </w:r>
      <w:r w:rsidR="00907617" w:rsidRPr="00C74A1C">
        <w:rPr>
          <w:sz w:val="24"/>
          <w:szCs w:val="24"/>
        </w:rPr>
        <w:t>from April</w:t>
      </w:r>
      <w:r w:rsidR="00907617">
        <w:rPr>
          <w:sz w:val="24"/>
          <w:szCs w:val="24"/>
        </w:rPr>
        <w:t xml:space="preserve"> 2, 2009 t</w:t>
      </w:r>
      <w:r w:rsidR="00525E5E">
        <w:rPr>
          <w:sz w:val="24"/>
          <w:szCs w:val="24"/>
        </w:rPr>
        <w:t>hrough</w:t>
      </w:r>
      <w:r w:rsidR="00907617">
        <w:rPr>
          <w:sz w:val="24"/>
          <w:szCs w:val="24"/>
        </w:rPr>
        <w:t xml:space="preserve"> March 31</w:t>
      </w:r>
      <w:r w:rsidR="00907617" w:rsidRPr="00C74A1C">
        <w:rPr>
          <w:sz w:val="24"/>
          <w:szCs w:val="24"/>
        </w:rPr>
        <w:t>, 201</w:t>
      </w:r>
      <w:r w:rsidR="00E46029">
        <w:rPr>
          <w:sz w:val="24"/>
          <w:szCs w:val="24"/>
        </w:rPr>
        <w:t>0</w:t>
      </w:r>
      <w:r w:rsidR="00907617" w:rsidRPr="00C74A1C">
        <w:rPr>
          <w:sz w:val="24"/>
          <w:szCs w:val="24"/>
        </w:rPr>
        <w:t>.</w:t>
      </w:r>
      <w:r w:rsidR="00D80493">
        <w:rPr>
          <w:sz w:val="24"/>
          <w:szCs w:val="24"/>
        </w:rPr>
        <w:t xml:space="preserve"> This last period was characterized by </w:t>
      </w:r>
      <w:r w:rsidR="0003042D">
        <w:rPr>
          <w:sz w:val="24"/>
          <w:szCs w:val="24"/>
        </w:rPr>
        <w:t xml:space="preserve">a weak recovery </w:t>
      </w:r>
      <w:r w:rsidR="00525E5E">
        <w:rPr>
          <w:sz w:val="24"/>
          <w:szCs w:val="24"/>
        </w:rPr>
        <w:t xml:space="preserve">in </w:t>
      </w:r>
      <w:r w:rsidR="0003042D">
        <w:rPr>
          <w:sz w:val="24"/>
          <w:szCs w:val="24"/>
        </w:rPr>
        <w:t xml:space="preserve">Europe—the </w:t>
      </w:r>
      <w:r w:rsidR="0003042D" w:rsidRPr="0003042D">
        <w:rPr>
          <w:sz w:val="24"/>
          <w:szCs w:val="24"/>
        </w:rPr>
        <w:t xml:space="preserve">recession </w:t>
      </w:r>
      <w:r w:rsidR="0003042D">
        <w:rPr>
          <w:sz w:val="24"/>
          <w:szCs w:val="24"/>
        </w:rPr>
        <w:t xml:space="preserve">officially </w:t>
      </w:r>
      <w:r w:rsidR="0003042D" w:rsidRPr="0003042D">
        <w:rPr>
          <w:sz w:val="24"/>
          <w:szCs w:val="24"/>
        </w:rPr>
        <w:t>ended in the third quarter of 2009, thanks largely to fiscal and monetary measures to stimulate the economy</w:t>
      </w:r>
      <w:r w:rsidR="0003042D">
        <w:rPr>
          <w:sz w:val="24"/>
          <w:szCs w:val="24"/>
        </w:rPr>
        <w:t>.</w:t>
      </w:r>
      <w:r w:rsidR="00A115AE">
        <w:rPr>
          <w:rStyle w:val="FootnoteReference"/>
          <w:sz w:val="24"/>
          <w:szCs w:val="24"/>
        </w:rPr>
        <w:footnoteReference w:id="12"/>
      </w:r>
      <w:r w:rsidR="00907617" w:rsidRPr="00C74A1C">
        <w:rPr>
          <w:sz w:val="24"/>
          <w:szCs w:val="24"/>
        </w:rPr>
        <w:t xml:space="preserve"> The</w:t>
      </w:r>
      <w:r w:rsidR="00907617">
        <w:rPr>
          <w:sz w:val="24"/>
          <w:szCs w:val="24"/>
        </w:rPr>
        <w:t xml:space="preserve"> beginning and ending dates of our </w:t>
      </w:r>
      <w:r w:rsidR="00907617" w:rsidRPr="00C74A1C">
        <w:rPr>
          <w:sz w:val="24"/>
          <w:szCs w:val="24"/>
        </w:rPr>
        <w:t xml:space="preserve">sample are limited </w:t>
      </w:r>
      <w:r w:rsidR="00907617">
        <w:rPr>
          <w:sz w:val="24"/>
          <w:szCs w:val="24"/>
        </w:rPr>
        <w:t xml:space="preserve">by our </w:t>
      </w:r>
      <w:r w:rsidR="00907617" w:rsidRPr="00C74A1C">
        <w:rPr>
          <w:sz w:val="24"/>
          <w:szCs w:val="24"/>
        </w:rPr>
        <w:t xml:space="preserve">access </w:t>
      </w:r>
      <w:r w:rsidR="00907617">
        <w:rPr>
          <w:sz w:val="24"/>
          <w:szCs w:val="24"/>
        </w:rPr>
        <w:t xml:space="preserve">to </w:t>
      </w:r>
      <w:r w:rsidR="00907617" w:rsidRPr="00C74A1C">
        <w:rPr>
          <w:sz w:val="24"/>
          <w:szCs w:val="24"/>
        </w:rPr>
        <w:t>e-MID data.</w:t>
      </w:r>
      <w:r w:rsidR="00983590">
        <w:rPr>
          <w:rStyle w:val="FootnoteReference"/>
          <w:sz w:val="24"/>
          <w:szCs w:val="24"/>
        </w:rPr>
        <w:footnoteReference w:id="13"/>
      </w:r>
      <w:r w:rsidR="00E46029">
        <w:rPr>
          <w:sz w:val="24"/>
          <w:szCs w:val="24"/>
        </w:rPr>
        <w:t xml:space="preserve"> We adopt two data frequencies: daily and monthly.</w:t>
      </w:r>
    </w:p>
    <w:p w14:paraId="77D69CC0" w14:textId="61D228A9" w:rsidR="006F3CE4" w:rsidRPr="00C74A1C" w:rsidRDefault="006F3CE4" w:rsidP="008270D9">
      <w:pPr>
        <w:pStyle w:val="ListParagraph"/>
        <w:spacing w:line="480" w:lineRule="auto"/>
        <w:ind w:left="0" w:firstLine="720"/>
        <w:jc w:val="both"/>
        <w:rPr>
          <w:sz w:val="24"/>
          <w:szCs w:val="24"/>
        </w:rPr>
      </w:pPr>
      <w:r>
        <w:rPr>
          <w:sz w:val="24"/>
          <w:szCs w:val="24"/>
        </w:rPr>
        <w:t xml:space="preserve">Daily summary statistics for the rate of returns are reported in Table 1. In the </w:t>
      </w:r>
      <w:r w:rsidR="001B0BE4">
        <w:rPr>
          <w:sz w:val="24"/>
          <w:szCs w:val="24"/>
        </w:rPr>
        <w:t>pre</w:t>
      </w:r>
      <w:r>
        <w:rPr>
          <w:sz w:val="24"/>
          <w:szCs w:val="24"/>
        </w:rPr>
        <w:t xml:space="preserve">-crisis period, rate of returns are positive and exhibit low volatility. In the crisis periods returns are highly negative and exhibit very large volatility. </w:t>
      </w:r>
      <w:r w:rsidR="00525E5E">
        <w:rPr>
          <w:sz w:val="24"/>
          <w:szCs w:val="24"/>
        </w:rPr>
        <w:t>Bank equity r</w:t>
      </w:r>
      <w:r>
        <w:rPr>
          <w:sz w:val="24"/>
          <w:szCs w:val="24"/>
        </w:rPr>
        <w:t>eturns are positive again in the post-crisis period albeit still very volatile.</w:t>
      </w:r>
    </w:p>
    <w:p w14:paraId="52579E3B" w14:textId="083EBC49" w:rsidR="00907617" w:rsidRPr="00C74A1C" w:rsidRDefault="00907617" w:rsidP="00326A99">
      <w:pPr>
        <w:pStyle w:val="ListParagraph"/>
        <w:spacing w:line="480" w:lineRule="auto"/>
        <w:ind w:left="0" w:firstLine="720"/>
        <w:jc w:val="both"/>
        <w:rPr>
          <w:sz w:val="24"/>
          <w:szCs w:val="24"/>
        </w:rPr>
      </w:pPr>
      <w:r w:rsidRPr="00C74A1C">
        <w:rPr>
          <w:sz w:val="24"/>
          <w:szCs w:val="24"/>
        </w:rPr>
        <w:t xml:space="preserve">To construct </w:t>
      </w:r>
      <w:r w:rsidR="0050711A">
        <w:rPr>
          <w:sz w:val="24"/>
          <w:szCs w:val="24"/>
        </w:rPr>
        <w:t xml:space="preserve">physical </w:t>
      </w:r>
      <w:r w:rsidR="0017702E">
        <w:rPr>
          <w:sz w:val="24"/>
          <w:szCs w:val="24"/>
        </w:rPr>
        <w:t>network</w:t>
      </w:r>
      <w:r w:rsidRPr="00C74A1C">
        <w:rPr>
          <w:sz w:val="24"/>
          <w:szCs w:val="24"/>
        </w:rPr>
        <w:t>s</w:t>
      </w:r>
      <w:r w:rsidR="00777A0D">
        <w:rPr>
          <w:sz w:val="24"/>
          <w:szCs w:val="24"/>
        </w:rPr>
        <w:t xml:space="preserve"> we </w:t>
      </w:r>
      <w:r w:rsidRPr="00C74A1C">
        <w:rPr>
          <w:sz w:val="24"/>
          <w:szCs w:val="24"/>
        </w:rPr>
        <w:t xml:space="preserve">employ e-MID trading data from the only electronic regulated interbank market in the world. Each e-MID transaction includes the time (to the second), lender, borrower, interest rate, quantity, and an indication of which party is executing the trade. The e-MID market is open to all banks admitted to operate in the European interbank market and non-European banks can access the market through their European branches. We observe 207 unique banks and 364,917 trades in the data. </w:t>
      </w:r>
      <w:r w:rsidR="001C3198">
        <w:rPr>
          <w:sz w:val="24"/>
          <w:szCs w:val="24"/>
        </w:rPr>
        <w:t>At the beginning of our sample, i</w:t>
      </w:r>
      <w:r w:rsidRPr="00C74A1C">
        <w:rPr>
          <w:sz w:val="24"/>
          <w:szCs w:val="24"/>
        </w:rPr>
        <w:t xml:space="preserve">nternal estimates from </w:t>
      </w:r>
      <w:r w:rsidRPr="00C74A1C">
        <w:rPr>
          <w:sz w:val="24"/>
          <w:szCs w:val="24"/>
        </w:rPr>
        <w:lastRenderedPageBreak/>
        <w:t xml:space="preserve">e-MID reveal that this market covers between 20% and 30% of the interbank market in the Euro area. </w:t>
      </w:r>
      <w:r w:rsidR="001C3198">
        <w:rPr>
          <w:sz w:val="24"/>
          <w:szCs w:val="24"/>
        </w:rPr>
        <w:t xml:space="preserve">However, this percentage has been dropping since the crisis. </w:t>
      </w:r>
      <w:r w:rsidR="00C91F33">
        <w:rPr>
          <w:sz w:val="24"/>
          <w:szCs w:val="24"/>
        </w:rPr>
        <w:t xml:space="preserve">Accordingly, </w:t>
      </w:r>
      <w:r w:rsidR="00533B16">
        <w:rPr>
          <w:sz w:val="24"/>
          <w:szCs w:val="24"/>
        </w:rPr>
        <w:t xml:space="preserve">we find a decline in the average number of banks in the data from </w:t>
      </w:r>
      <w:r w:rsidR="00C91F33">
        <w:rPr>
          <w:sz w:val="24"/>
          <w:szCs w:val="24"/>
        </w:rPr>
        <w:t xml:space="preserve">129 </w:t>
      </w:r>
      <w:r w:rsidR="00533B16">
        <w:rPr>
          <w:sz w:val="24"/>
          <w:szCs w:val="24"/>
        </w:rPr>
        <w:t xml:space="preserve">to 113 to 91 to 77 across our four sub-periods. </w:t>
      </w:r>
      <w:r w:rsidRPr="00C74A1C">
        <w:rPr>
          <w:sz w:val="24"/>
          <w:szCs w:val="24"/>
        </w:rPr>
        <w:t xml:space="preserve">The automated trade processing features in e-MID allow us to accurately assess and examine the </w:t>
      </w:r>
      <w:r w:rsidR="00C64865">
        <w:rPr>
          <w:sz w:val="24"/>
          <w:szCs w:val="24"/>
        </w:rPr>
        <w:t>interbank</w:t>
      </w:r>
      <w:r w:rsidRPr="00C74A1C">
        <w:rPr>
          <w:sz w:val="24"/>
          <w:szCs w:val="24"/>
        </w:rPr>
        <w:t xml:space="preserve"> trading connections between banks in this market</w:t>
      </w:r>
      <w:r w:rsidR="00C64865">
        <w:rPr>
          <w:sz w:val="24"/>
          <w:szCs w:val="24"/>
        </w:rPr>
        <w:t xml:space="preserve"> (at least those executed through the e-MID system)</w:t>
      </w:r>
      <w:r w:rsidRPr="00C74A1C">
        <w:rPr>
          <w:sz w:val="24"/>
          <w:szCs w:val="24"/>
        </w:rPr>
        <w:t xml:space="preserve">. </w:t>
      </w:r>
    </w:p>
    <w:p w14:paraId="065E1780" w14:textId="4CD6B6EF" w:rsidR="00907617" w:rsidRDefault="00907617" w:rsidP="00326A99">
      <w:pPr>
        <w:pStyle w:val="ListParagraph"/>
        <w:spacing w:line="480" w:lineRule="auto"/>
        <w:ind w:left="0" w:firstLine="720"/>
        <w:jc w:val="both"/>
        <w:rPr>
          <w:sz w:val="24"/>
          <w:szCs w:val="24"/>
        </w:rPr>
      </w:pPr>
      <w:r w:rsidRPr="00C74A1C">
        <w:rPr>
          <w:sz w:val="24"/>
          <w:szCs w:val="24"/>
        </w:rPr>
        <w:t xml:space="preserve">Table </w:t>
      </w:r>
      <w:r w:rsidR="001616AF">
        <w:rPr>
          <w:sz w:val="24"/>
          <w:szCs w:val="24"/>
        </w:rPr>
        <w:t>2</w:t>
      </w:r>
      <w:r w:rsidRPr="00C74A1C">
        <w:rPr>
          <w:sz w:val="24"/>
          <w:szCs w:val="24"/>
        </w:rPr>
        <w:t xml:space="preserve"> reports </w:t>
      </w:r>
      <w:r>
        <w:rPr>
          <w:sz w:val="24"/>
          <w:szCs w:val="24"/>
        </w:rPr>
        <w:t xml:space="preserve">daily e-MID market </w:t>
      </w:r>
      <w:r w:rsidRPr="00C74A1C">
        <w:rPr>
          <w:sz w:val="24"/>
          <w:szCs w:val="24"/>
        </w:rPr>
        <w:t xml:space="preserve">summary statistics, by sub-period, for </w:t>
      </w:r>
      <w:r>
        <w:rPr>
          <w:sz w:val="24"/>
          <w:szCs w:val="24"/>
        </w:rPr>
        <w:t>price changes, effective spreads, volume, trade imbalances,</w:t>
      </w:r>
      <w:r w:rsidR="00FB61F3">
        <w:rPr>
          <w:rStyle w:val="FootnoteReference"/>
          <w:sz w:val="24"/>
          <w:szCs w:val="24"/>
        </w:rPr>
        <w:footnoteReference w:id="14"/>
      </w:r>
      <w:r>
        <w:rPr>
          <w:sz w:val="24"/>
          <w:szCs w:val="24"/>
        </w:rPr>
        <w:t xml:space="preserve"> market concentration (a Herfindahl index)</w:t>
      </w:r>
      <w:r w:rsidRPr="00C74A1C">
        <w:rPr>
          <w:sz w:val="24"/>
          <w:szCs w:val="24"/>
        </w:rPr>
        <w:t xml:space="preserve"> and </w:t>
      </w:r>
      <w:r>
        <w:rPr>
          <w:sz w:val="24"/>
          <w:szCs w:val="24"/>
        </w:rPr>
        <w:t>signed volume.</w:t>
      </w:r>
      <w:r w:rsidR="00FB61F3">
        <w:rPr>
          <w:rStyle w:val="FootnoteReference"/>
          <w:sz w:val="24"/>
          <w:szCs w:val="24"/>
        </w:rPr>
        <w:footnoteReference w:id="15"/>
      </w:r>
      <w:r>
        <w:rPr>
          <w:sz w:val="24"/>
          <w:szCs w:val="24"/>
        </w:rPr>
        <w:t xml:space="preserve"> As shown, daily price changes are consistently negative, with greater negative changes during the two crisis periods. </w:t>
      </w:r>
      <w:r w:rsidR="00326A99">
        <w:rPr>
          <w:sz w:val="24"/>
          <w:szCs w:val="24"/>
        </w:rPr>
        <w:t>V</w:t>
      </w:r>
      <w:r>
        <w:rPr>
          <w:sz w:val="24"/>
          <w:szCs w:val="24"/>
        </w:rPr>
        <w:t xml:space="preserve">olatility rises dramatically during the crisis and remains somewhat elevated </w:t>
      </w:r>
      <w:r w:rsidR="006B5687">
        <w:rPr>
          <w:sz w:val="24"/>
          <w:szCs w:val="24"/>
        </w:rPr>
        <w:t xml:space="preserve">in the last </w:t>
      </w:r>
      <w:r w:rsidR="005E609E">
        <w:rPr>
          <w:sz w:val="24"/>
          <w:szCs w:val="24"/>
        </w:rPr>
        <w:t xml:space="preserve">post-crisis </w:t>
      </w:r>
      <w:r w:rsidR="006B5687">
        <w:rPr>
          <w:sz w:val="24"/>
          <w:szCs w:val="24"/>
        </w:rPr>
        <w:t>sub-period</w:t>
      </w:r>
      <w:r>
        <w:rPr>
          <w:sz w:val="24"/>
          <w:szCs w:val="24"/>
        </w:rPr>
        <w:t xml:space="preserve"> as illustrated in Figure 1.</w:t>
      </w:r>
    </w:p>
    <w:p w14:paraId="62B849B6" w14:textId="37C9FEB7" w:rsidR="00907617" w:rsidRDefault="00907617" w:rsidP="00326A99">
      <w:pPr>
        <w:pStyle w:val="ListParagraph"/>
        <w:spacing w:line="480" w:lineRule="auto"/>
        <w:ind w:left="0" w:firstLine="720"/>
        <w:jc w:val="both"/>
        <w:rPr>
          <w:sz w:val="24"/>
          <w:szCs w:val="24"/>
        </w:rPr>
      </w:pPr>
      <w:r>
        <w:rPr>
          <w:sz w:val="24"/>
          <w:szCs w:val="24"/>
        </w:rPr>
        <w:t>Effective spreads</w:t>
      </w:r>
      <w:r w:rsidR="00F60617">
        <w:rPr>
          <w:sz w:val="24"/>
          <w:szCs w:val="24"/>
        </w:rPr>
        <w:t xml:space="preserve">, in Table 2, </w:t>
      </w:r>
      <w:r>
        <w:rPr>
          <w:sz w:val="24"/>
          <w:szCs w:val="24"/>
        </w:rPr>
        <w:t xml:space="preserve">remain relatively stable across our sample period, suggesting that interbank market liquidity did not suffer appreciably during the crisis. Average daily volume, on the other hand, </w:t>
      </w:r>
      <w:r w:rsidR="00C64865">
        <w:rPr>
          <w:sz w:val="24"/>
          <w:szCs w:val="24"/>
        </w:rPr>
        <w:t xml:space="preserve">varies significantly and </w:t>
      </w:r>
      <w:r w:rsidRPr="00C74A1C">
        <w:rPr>
          <w:sz w:val="24"/>
          <w:szCs w:val="24"/>
        </w:rPr>
        <w:t xml:space="preserve">ranges from 927 to almost 42,000 </w:t>
      </w:r>
      <w:r w:rsidR="00806F28">
        <w:rPr>
          <w:sz w:val="24"/>
          <w:szCs w:val="24"/>
        </w:rPr>
        <w:t>contracts</w:t>
      </w:r>
      <w:r w:rsidRPr="00C74A1C">
        <w:rPr>
          <w:sz w:val="24"/>
          <w:szCs w:val="24"/>
        </w:rPr>
        <w:t xml:space="preserve"> per day.</w:t>
      </w:r>
      <w:r>
        <w:rPr>
          <w:sz w:val="24"/>
          <w:szCs w:val="24"/>
        </w:rPr>
        <w:t xml:space="preserve"> </w:t>
      </w:r>
      <w:r w:rsidR="00D75958">
        <w:rPr>
          <w:sz w:val="24"/>
          <w:szCs w:val="24"/>
        </w:rPr>
        <w:t xml:space="preserve">The top right panel of </w:t>
      </w:r>
      <w:r>
        <w:rPr>
          <w:sz w:val="24"/>
          <w:szCs w:val="24"/>
        </w:rPr>
        <w:t xml:space="preserve">Figure </w:t>
      </w:r>
      <w:r w:rsidR="00D75958">
        <w:rPr>
          <w:sz w:val="24"/>
          <w:szCs w:val="24"/>
        </w:rPr>
        <w:t>1</w:t>
      </w:r>
      <w:r>
        <w:rPr>
          <w:sz w:val="24"/>
          <w:szCs w:val="24"/>
        </w:rPr>
        <w:t xml:space="preserve"> shows clearly that volume drops substantially </w:t>
      </w:r>
      <w:r w:rsidR="00C64865">
        <w:rPr>
          <w:sz w:val="24"/>
          <w:szCs w:val="24"/>
        </w:rPr>
        <w:t xml:space="preserve">over </w:t>
      </w:r>
      <w:r>
        <w:rPr>
          <w:sz w:val="24"/>
          <w:szCs w:val="24"/>
        </w:rPr>
        <w:t xml:space="preserve">time </w:t>
      </w:r>
      <w:r w:rsidR="00A47C5D">
        <w:rPr>
          <w:sz w:val="24"/>
          <w:szCs w:val="24"/>
        </w:rPr>
        <w:t xml:space="preserve">resulting </w:t>
      </w:r>
      <w:r w:rsidR="00C64865">
        <w:rPr>
          <w:sz w:val="24"/>
          <w:szCs w:val="24"/>
        </w:rPr>
        <w:t xml:space="preserve">in </w:t>
      </w:r>
      <w:r>
        <w:rPr>
          <w:sz w:val="24"/>
          <w:szCs w:val="24"/>
        </w:rPr>
        <w:t>post-crisis volume less than 20 percent of pre-crisis volume.</w:t>
      </w:r>
    </w:p>
    <w:p w14:paraId="78C95093" w14:textId="05497B1E" w:rsidR="00A47C5D" w:rsidRDefault="00D75958" w:rsidP="00326A99">
      <w:pPr>
        <w:pStyle w:val="ListParagraph"/>
        <w:spacing w:line="480" w:lineRule="auto"/>
        <w:ind w:left="0" w:firstLine="720"/>
        <w:jc w:val="both"/>
        <w:rPr>
          <w:sz w:val="24"/>
          <w:szCs w:val="24"/>
        </w:rPr>
      </w:pPr>
      <w:r>
        <w:rPr>
          <w:sz w:val="24"/>
          <w:szCs w:val="24"/>
        </w:rPr>
        <w:lastRenderedPageBreak/>
        <w:t xml:space="preserve">The lower left panel of </w:t>
      </w:r>
      <w:r w:rsidR="00907617">
        <w:rPr>
          <w:sz w:val="24"/>
          <w:szCs w:val="24"/>
        </w:rPr>
        <w:t xml:space="preserve">Figure </w:t>
      </w:r>
      <w:r>
        <w:rPr>
          <w:sz w:val="24"/>
          <w:szCs w:val="24"/>
        </w:rPr>
        <w:t>1</w:t>
      </w:r>
      <w:r w:rsidR="00907617">
        <w:rPr>
          <w:sz w:val="24"/>
          <w:szCs w:val="24"/>
        </w:rPr>
        <w:t xml:space="preserve"> plots trade imbalances</w:t>
      </w:r>
      <w:r w:rsidR="00806F28">
        <w:rPr>
          <w:sz w:val="24"/>
          <w:szCs w:val="24"/>
        </w:rPr>
        <w:t xml:space="preserve"> (scaled by volume)</w:t>
      </w:r>
      <w:r w:rsidR="00907617">
        <w:rPr>
          <w:sz w:val="24"/>
          <w:szCs w:val="24"/>
        </w:rPr>
        <w:t xml:space="preserve"> over time and shows that imbalances </w:t>
      </w:r>
      <w:r w:rsidR="00806F28">
        <w:rPr>
          <w:sz w:val="24"/>
          <w:szCs w:val="24"/>
        </w:rPr>
        <w:t xml:space="preserve">increase over time, </w:t>
      </w:r>
      <w:r w:rsidR="00C64865">
        <w:rPr>
          <w:sz w:val="24"/>
          <w:szCs w:val="24"/>
        </w:rPr>
        <w:t xml:space="preserve">a result </w:t>
      </w:r>
      <w:r w:rsidR="003C45F2">
        <w:rPr>
          <w:sz w:val="24"/>
          <w:szCs w:val="24"/>
        </w:rPr>
        <w:t xml:space="preserve">driven by the </w:t>
      </w:r>
      <w:r w:rsidR="00907617">
        <w:rPr>
          <w:sz w:val="24"/>
          <w:szCs w:val="24"/>
        </w:rPr>
        <w:t>concurrent</w:t>
      </w:r>
      <w:r w:rsidR="003C45F2">
        <w:rPr>
          <w:sz w:val="24"/>
          <w:szCs w:val="24"/>
        </w:rPr>
        <w:t xml:space="preserve"> decline in </w:t>
      </w:r>
      <w:r w:rsidR="00907617">
        <w:rPr>
          <w:sz w:val="24"/>
          <w:szCs w:val="24"/>
        </w:rPr>
        <w:t xml:space="preserve">volume. </w:t>
      </w:r>
      <w:r w:rsidR="003C45F2">
        <w:rPr>
          <w:sz w:val="24"/>
          <w:szCs w:val="24"/>
        </w:rPr>
        <w:t xml:space="preserve"> </w:t>
      </w:r>
      <w:r w:rsidR="00907617">
        <w:rPr>
          <w:sz w:val="24"/>
          <w:szCs w:val="24"/>
        </w:rPr>
        <w:t xml:space="preserve">Market concentration, as measured by the Herfindahl index, </w:t>
      </w:r>
      <w:r w:rsidR="003C45F2">
        <w:rPr>
          <w:sz w:val="24"/>
          <w:szCs w:val="24"/>
        </w:rPr>
        <w:t xml:space="preserve">also </w:t>
      </w:r>
      <w:r w:rsidR="00907617">
        <w:rPr>
          <w:sz w:val="24"/>
          <w:szCs w:val="24"/>
        </w:rPr>
        <w:t xml:space="preserve">rises consistently over our sample period (see </w:t>
      </w:r>
      <w:r>
        <w:rPr>
          <w:sz w:val="24"/>
          <w:szCs w:val="24"/>
        </w:rPr>
        <w:t xml:space="preserve">bottom right panel of </w:t>
      </w:r>
      <w:r w:rsidR="00907617">
        <w:rPr>
          <w:sz w:val="24"/>
          <w:szCs w:val="24"/>
        </w:rPr>
        <w:t xml:space="preserve">Figure </w:t>
      </w:r>
      <w:r>
        <w:rPr>
          <w:sz w:val="24"/>
          <w:szCs w:val="24"/>
        </w:rPr>
        <w:t>1</w:t>
      </w:r>
      <w:r w:rsidR="00907617">
        <w:rPr>
          <w:sz w:val="24"/>
          <w:szCs w:val="24"/>
        </w:rPr>
        <w:t xml:space="preserve">), reflecting </w:t>
      </w:r>
      <w:r w:rsidR="00A47C5D">
        <w:rPr>
          <w:sz w:val="24"/>
          <w:szCs w:val="24"/>
        </w:rPr>
        <w:t>greater</w:t>
      </w:r>
      <w:r w:rsidR="00907617">
        <w:rPr>
          <w:sz w:val="24"/>
          <w:szCs w:val="24"/>
        </w:rPr>
        <w:t xml:space="preserve"> concentration among </w:t>
      </w:r>
      <w:r w:rsidR="00A47C5D">
        <w:rPr>
          <w:sz w:val="24"/>
          <w:szCs w:val="24"/>
        </w:rPr>
        <w:t xml:space="preserve">banks </w:t>
      </w:r>
      <w:r w:rsidR="004B39A4">
        <w:rPr>
          <w:sz w:val="24"/>
          <w:szCs w:val="24"/>
        </w:rPr>
        <w:t>using e-</w:t>
      </w:r>
      <w:r w:rsidR="00C64865">
        <w:rPr>
          <w:sz w:val="24"/>
          <w:szCs w:val="24"/>
        </w:rPr>
        <w:t>MID</w:t>
      </w:r>
      <w:r w:rsidR="003C45F2">
        <w:rPr>
          <w:sz w:val="24"/>
          <w:szCs w:val="24"/>
        </w:rPr>
        <w:t>.</w:t>
      </w:r>
      <w:r w:rsidR="004228BB">
        <w:rPr>
          <w:sz w:val="24"/>
          <w:szCs w:val="24"/>
        </w:rPr>
        <w:t xml:space="preserve"> </w:t>
      </w:r>
      <w:r w:rsidR="00A47C5D">
        <w:rPr>
          <w:sz w:val="24"/>
          <w:szCs w:val="24"/>
        </w:rPr>
        <w:t xml:space="preserve">Signed volume is negative throughout our sample period, </w:t>
      </w:r>
      <w:r w:rsidR="00C64865">
        <w:rPr>
          <w:sz w:val="24"/>
          <w:szCs w:val="24"/>
        </w:rPr>
        <w:t xml:space="preserve">indicating </w:t>
      </w:r>
      <w:r w:rsidR="004228BB">
        <w:rPr>
          <w:sz w:val="24"/>
          <w:szCs w:val="24"/>
        </w:rPr>
        <w:t xml:space="preserve"> </w:t>
      </w:r>
      <w:r w:rsidR="003C45F2">
        <w:rPr>
          <w:sz w:val="24"/>
          <w:szCs w:val="24"/>
        </w:rPr>
        <w:t xml:space="preserve">that </w:t>
      </w:r>
      <w:r w:rsidR="00C64865">
        <w:rPr>
          <w:sz w:val="24"/>
          <w:szCs w:val="24"/>
        </w:rPr>
        <w:t xml:space="preserve">banks </w:t>
      </w:r>
      <w:r w:rsidR="004228BB">
        <w:rPr>
          <w:sz w:val="24"/>
          <w:szCs w:val="24"/>
        </w:rPr>
        <w:t xml:space="preserve">actively use e-MID for </w:t>
      </w:r>
      <w:r w:rsidR="003C45F2">
        <w:rPr>
          <w:sz w:val="24"/>
          <w:szCs w:val="24"/>
        </w:rPr>
        <w:t>sell</w:t>
      </w:r>
      <w:r w:rsidR="004228BB">
        <w:rPr>
          <w:sz w:val="24"/>
          <w:szCs w:val="24"/>
        </w:rPr>
        <w:t>ing funds</w:t>
      </w:r>
      <w:r w:rsidR="003C45F2">
        <w:rPr>
          <w:sz w:val="24"/>
          <w:szCs w:val="24"/>
        </w:rPr>
        <w:t>.</w:t>
      </w:r>
      <w:r w:rsidR="00837472" w:rsidRPr="00837472">
        <w:rPr>
          <w:sz w:val="24"/>
          <w:szCs w:val="24"/>
        </w:rPr>
        <w:t xml:space="preserve"> </w:t>
      </w:r>
    </w:p>
    <w:p w14:paraId="7EB6C4A8" w14:textId="77777777" w:rsidR="007D2978" w:rsidRDefault="007D2978" w:rsidP="004C1177">
      <w:pPr>
        <w:pStyle w:val="ListParagraph"/>
        <w:spacing w:line="480" w:lineRule="auto"/>
        <w:ind w:left="0"/>
        <w:rPr>
          <w:sz w:val="28"/>
          <w:szCs w:val="28"/>
        </w:rPr>
      </w:pPr>
    </w:p>
    <w:p w14:paraId="0E8E2E4A" w14:textId="7385E7CC" w:rsidR="00910FF0" w:rsidRPr="00590E71" w:rsidRDefault="00910FF0" w:rsidP="004C1177">
      <w:pPr>
        <w:pStyle w:val="ListParagraph"/>
        <w:spacing w:line="480" w:lineRule="auto"/>
        <w:ind w:left="0"/>
        <w:rPr>
          <w:b/>
          <w:sz w:val="28"/>
          <w:szCs w:val="28"/>
        </w:rPr>
      </w:pPr>
      <w:r w:rsidRPr="00590E71">
        <w:rPr>
          <w:b/>
          <w:sz w:val="28"/>
          <w:szCs w:val="28"/>
        </w:rPr>
        <w:t>5</w:t>
      </w:r>
      <w:r w:rsidR="007D2978" w:rsidRPr="00590E71">
        <w:rPr>
          <w:b/>
          <w:sz w:val="28"/>
          <w:szCs w:val="28"/>
        </w:rPr>
        <w:t>.</w:t>
      </w:r>
      <w:r w:rsidRPr="00590E71">
        <w:rPr>
          <w:b/>
          <w:sz w:val="28"/>
          <w:szCs w:val="28"/>
        </w:rPr>
        <w:t xml:space="preserve"> </w:t>
      </w:r>
      <w:r w:rsidR="007D2978" w:rsidRPr="00590E71">
        <w:rPr>
          <w:b/>
          <w:sz w:val="28"/>
          <w:szCs w:val="28"/>
        </w:rPr>
        <w:t xml:space="preserve">Network </w:t>
      </w:r>
      <w:r w:rsidRPr="00590E71">
        <w:rPr>
          <w:b/>
          <w:sz w:val="28"/>
          <w:szCs w:val="28"/>
        </w:rPr>
        <w:t>Interconnectedness</w:t>
      </w:r>
    </w:p>
    <w:p w14:paraId="7F928AB2" w14:textId="2F1CE8D4" w:rsidR="006E314B" w:rsidRDefault="006E314B" w:rsidP="00326A99">
      <w:pPr>
        <w:pStyle w:val="ListParagraph"/>
        <w:spacing w:line="480" w:lineRule="auto"/>
        <w:ind w:left="0" w:firstLine="720"/>
        <w:jc w:val="both"/>
        <w:rPr>
          <w:sz w:val="28"/>
          <w:szCs w:val="28"/>
        </w:rPr>
      </w:pPr>
      <w:r>
        <w:rPr>
          <w:sz w:val="24"/>
          <w:szCs w:val="24"/>
        </w:rPr>
        <w:t xml:space="preserve">We </w:t>
      </w:r>
      <w:r w:rsidR="003C5967">
        <w:rPr>
          <w:sz w:val="24"/>
          <w:szCs w:val="24"/>
        </w:rPr>
        <w:t xml:space="preserve">compute various measures of interconnectedness by </w:t>
      </w:r>
      <w:r>
        <w:rPr>
          <w:sz w:val="24"/>
          <w:szCs w:val="24"/>
        </w:rPr>
        <w:t>utiliz</w:t>
      </w:r>
      <w:r w:rsidR="003C5967">
        <w:rPr>
          <w:sz w:val="24"/>
          <w:szCs w:val="24"/>
        </w:rPr>
        <w:t>ing</w:t>
      </w:r>
      <w:r>
        <w:rPr>
          <w:sz w:val="24"/>
          <w:szCs w:val="24"/>
        </w:rPr>
        <w:t xml:space="preserve"> </w:t>
      </w:r>
      <w:r w:rsidR="003C5967">
        <w:rPr>
          <w:sz w:val="24"/>
          <w:szCs w:val="24"/>
        </w:rPr>
        <w:t xml:space="preserve">the correlation networks (from </w:t>
      </w:r>
      <w:r>
        <w:rPr>
          <w:sz w:val="24"/>
          <w:szCs w:val="24"/>
        </w:rPr>
        <w:t>bank stock returns</w:t>
      </w:r>
      <w:r w:rsidR="003C5967">
        <w:rPr>
          <w:sz w:val="24"/>
          <w:szCs w:val="24"/>
        </w:rPr>
        <w:t>)</w:t>
      </w:r>
      <w:r>
        <w:rPr>
          <w:sz w:val="24"/>
          <w:szCs w:val="24"/>
        </w:rPr>
        <w:t xml:space="preserve"> and</w:t>
      </w:r>
      <w:r w:rsidR="003C5967">
        <w:rPr>
          <w:sz w:val="24"/>
          <w:szCs w:val="24"/>
        </w:rPr>
        <w:t xml:space="preserve"> physical networks</w:t>
      </w:r>
      <w:r>
        <w:rPr>
          <w:sz w:val="24"/>
          <w:szCs w:val="24"/>
        </w:rPr>
        <w:t xml:space="preserve"> </w:t>
      </w:r>
      <w:r w:rsidR="003C5967">
        <w:rPr>
          <w:sz w:val="24"/>
          <w:szCs w:val="24"/>
        </w:rPr>
        <w:t xml:space="preserve">(from </w:t>
      </w:r>
      <w:r>
        <w:rPr>
          <w:sz w:val="24"/>
          <w:szCs w:val="24"/>
        </w:rPr>
        <w:t>e-MID trading data</w:t>
      </w:r>
      <w:r w:rsidR="003C5967">
        <w:rPr>
          <w:sz w:val="24"/>
          <w:szCs w:val="24"/>
        </w:rPr>
        <w:t>)</w:t>
      </w:r>
      <w:r>
        <w:rPr>
          <w:sz w:val="24"/>
          <w:szCs w:val="24"/>
        </w:rPr>
        <w:t xml:space="preserve">. </w:t>
      </w:r>
      <w:r w:rsidR="004228BB">
        <w:rPr>
          <w:sz w:val="24"/>
          <w:szCs w:val="24"/>
        </w:rPr>
        <w:t xml:space="preserve">Our correlation networks </w:t>
      </w:r>
      <w:r>
        <w:rPr>
          <w:i/>
          <w:sz w:val="24"/>
          <w:szCs w:val="24"/>
        </w:rPr>
        <w:t>infer</w:t>
      </w:r>
      <w:r>
        <w:rPr>
          <w:sz w:val="24"/>
          <w:szCs w:val="24"/>
        </w:rPr>
        <w:t xml:space="preserve"> edges between banks through </w:t>
      </w:r>
      <w:r w:rsidR="004228BB">
        <w:rPr>
          <w:sz w:val="24"/>
          <w:szCs w:val="24"/>
        </w:rPr>
        <w:t xml:space="preserve">Granger-causality tests between </w:t>
      </w:r>
      <w:r>
        <w:rPr>
          <w:sz w:val="24"/>
          <w:szCs w:val="24"/>
        </w:rPr>
        <w:t>stock returns</w:t>
      </w:r>
      <w:r w:rsidR="004228BB">
        <w:rPr>
          <w:sz w:val="24"/>
          <w:szCs w:val="24"/>
        </w:rPr>
        <w:t xml:space="preserve"> (as in </w:t>
      </w:r>
      <w:r>
        <w:rPr>
          <w:sz w:val="24"/>
          <w:szCs w:val="24"/>
        </w:rPr>
        <w:t>Billio et al. (2012)</w:t>
      </w:r>
      <w:r w:rsidR="004228BB">
        <w:rPr>
          <w:sz w:val="24"/>
          <w:szCs w:val="24"/>
        </w:rPr>
        <w:t>)</w:t>
      </w:r>
      <w:r>
        <w:rPr>
          <w:sz w:val="24"/>
          <w:szCs w:val="24"/>
        </w:rPr>
        <w:t xml:space="preserve">. </w:t>
      </w:r>
      <w:r w:rsidR="004228BB">
        <w:rPr>
          <w:sz w:val="24"/>
          <w:szCs w:val="24"/>
        </w:rPr>
        <w:t xml:space="preserve">Our </w:t>
      </w:r>
      <w:r w:rsidR="006013C6">
        <w:rPr>
          <w:sz w:val="24"/>
          <w:szCs w:val="24"/>
        </w:rPr>
        <w:t>physical</w:t>
      </w:r>
      <w:r w:rsidR="004228BB">
        <w:rPr>
          <w:sz w:val="24"/>
          <w:szCs w:val="24"/>
        </w:rPr>
        <w:t xml:space="preserve"> </w:t>
      </w:r>
      <w:r>
        <w:rPr>
          <w:sz w:val="24"/>
          <w:szCs w:val="24"/>
        </w:rPr>
        <w:t>network</w:t>
      </w:r>
      <w:r w:rsidR="004228BB">
        <w:rPr>
          <w:sz w:val="24"/>
          <w:szCs w:val="24"/>
        </w:rPr>
        <w:t xml:space="preserve">s are formed by </w:t>
      </w:r>
      <w:r>
        <w:rPr>
          <w:i/>
          <w:sz w:val="24"/>
          <w:szCs w:val="24"/>
        </w:rPr>
        <w:t>direct</w:t>
      </w:r>
      <w:r w:rsidR="004228BB">
        <w:rPr>
          <w:i/>
          <w:sz w:val="24"/>
          <w:szCs w:val="24"/>
        </w:rPr>
        <w:t xml:space="preserve"> trades</w:t>
      </w:r>
      <w:r>
        <w:rPr>
          <w:sz w:val="24"/>
          <w:szCs w:val="24"/>
        </w:rPr>
        <w:t xml:space="preserve"> </w:t>
      </w:r>
      <w:r w:rsidR="004228BB">
        <w:rPr>
          <w:sz w:val="24"/>
          <w:szCs w:val="24"/>
        </w:rPr>
        <w:t>in the e-MID interbank market.</w:t>
      </w:r>
      <w:r w:rsidR="004228BB">
        <w:rPr>
          <w:rStyle w:val="FootnoteReference"/>
          <w:sz w:val="24"/>
          <w:szCs w:val="24"/>
        </w:rPr>
        <w:footnoteReference w:id="16"/>
      </w:r>
      <w:r w:rsidR="004228BB">
        <w:rPr>
          <w:sz w:val="24"/>
          <w:szCs w:val="24"/>
        </w:rPr>
        <w:t xml:space="preserve"> </w:t>
      </w:r>
      <w:r>
        <w:rPr>
          <w:sz w:val="24"/>
          <w:szCs w:val="24"/>
        </w:rPr>
        <w:t xml:space="preserve">We emphasize the fact that the </w:t>
      </w:r>
      <w:r w:rsidR="003C5967">
        <w:rPr>
          <w:sz w:val="24"/>
          <w:szCs w:val="24"/>
        </w:rPr>
        <w:t xml:space="preserve">29 </w:t>
      </w:r>
      <w:r>
        <w:rPr>
          <w:sz w:val="24"/>
          <w:szCs w:val="24"/>
        </w:rPr>
        <w:t>banks compos</w:t>
      </w:r>
      <w:r w:rsidR="0076311C">
        <w:rPr>
          <w:sz w:val="24"/>
          <w:szCs w:val="24"/>
        </w:rPr>
        <w:t xml:space="preserve">ing the correlation network are also part of the physical </w:t>
      </w:r>
      <w:r>
        <w:rPr>
          <w:sz w:val="24"/>
          <w:szCs w:val="24"/>
        </w:rPr>
        <w:t>network, but their connections in one network do not necessarily imply the same connections in the other.</w:t>
      </w:r>
    </w:p>
    <w:p w14:paraId="33DFC93F" w14:textId="02F45DB9" w:rsidR="006E314B" w:rsidRDefault="0076311C" w:rsidP="00326A99">
      <w:pPr>
        <w:pStyle w:val="ListParagraph"/>
        <w:spacing w:line="480" w:lineRule="auto"/>
        <w:ind w:left="0" w:firstLine="720"/>
        <w:jc w:val="both"/>
        <w:rPr>
          <w:sz w:val="24"/>
          <w:szCs w:val="24"/>
        </w:rPr>
      </w:pPr>
      <w:r>
        <w:rPr>
          <w:sz w:val="24"/>
          <w:szCs w:val="24"/>
        </w:rPr>
        <w:t>For the</w:t>
      </w:r>
      <w:r w:rsidR="006E314B">
        <w:rPr>
          <w:sz w:val="24"/>
          <w:szCs w:val="24"/>
        </w:rPr>
        <w:t xml:space="preserve"> </w:t>
      </w:r>
      <w:r w:rsidR="006E314B" w:rsidRPr="00590E71">
        <w:rPr>
          <w:i/>
          <w:sz w:val="24"/>
          <w:szCs w:val="24"/>
        </w:rPr>
        <w:t>correlation</w:t>
      </w:r>
      <w:r w:rsidR="005E609E" w:rsidRPr="005E609E">
        <w:rPr>
          <w:i/>
          <w:sz w:val="24"/>
          <w:szCs w:val="24"/>
        </w:rPr>
        <w:t xml:space="preserve"> </w:t>
      </w:r>
      <w:r w:rsidR="006E314B" w:rsidRPr="00590E71">
        <w:rPr>
          <w:i/>
          <w:sz w:val="24"/>
          <w:szCs w:val="24"/>
        </w:rPr>
        <w:t>network</w:t>
      </w:r>
      <w:r>
        <w:rPr>
          <w:sz w:val="24"/>
          <w:szCs w:val="24"/>
        </w:rPr>
        <w:t>,</w:t>
      </w:r>
      <w:r w:rsidR="006E314B">
        <w:rPr>
          <w:sz w:val="24"/>
          <w:szCs w:val="24"/>
        </w:rPr>
        <w:t xml:space="preserve"> </w:t>
      </w:r>
      <w:r>
        <w:rPr>
          <w:sz w:val="24"/>
          <w:szCs w:val="24"/>
        </w:rPr>
        <w:t xml:space="preserve">we </w:t>
      </w:r>
      <w:r w:rsidR="006E314B">
        <w:rPr>
          <w:sz w:val="24"/>
          <w:szCs w:val="24"/>
        </w:rPr>
        <w:t>utiliz</w:t>
      </w:r>
      <w:r>
        <w:rPr>
          <w:sz w:val="24"/>
          <w:szCs w:val="24"/>
        </w:rPr>
        <w:t>e</w:t>
      </w:r>
      <w:r w:rsidR="006E314B">
        <w:rPr>
          <w:sz w:val="24"/>
          <w:szCs w:val="24"/>
        </w:rPr>
        <w:t xml:space="preserve"> returns for individual banks</w:t>
      </w:r>
      <w:r w:rsidR="005E609E">
        <w:rPr>
          <w:sz w:val="24"/>
          <w:szCs w:val="24"/>
        </w:rPr>
        <w:t xml:space="preserve"> to establish Granger-causality links between banks</w:t>
      </w:r>
      <w:r w:rsidR="006E314B">
        <w:rPr>
          <w:sz w:val="24"/>
          <w:szCs w:val="24"/>
        </w:rPr>
        <w:t>. I</w:t>
      </w:r>
      <w:r>
        <w:rPr>
          <w:sz w:val="24"/>
          <w:szCs w:val="24"/>
        </w:rPr>
        <w:t>n particular, i</w:t>
      </w:r>
      <w:r w:rsidR="006E314B">
        <w:rPr>
          <w:sz w:val="24"/>
          <w:szCs w:val="24"/>
        </w:rPr>
        <w:t xml:space="preserve">f the return of bank </w:t>
      </w:r>
      <w:r w:rsidR="006E314B">
        <w:rPr>
          <w:i/>
          <w:sz w:val="24"/>
          <w:szCs w:val="24"/>
        </w:rPr>
        <w:t>A</w:t>
      </w:r>
      <w:r w:rsidR="006E314B">
        <w:rPr>
          <w:sz w:val="24"/>
          <w:szCs w:val="24"/>
        </w:rPr>
        <w:t xml:space="preserve"> Granger-causes the return of bank </w:t>
      </w:r>
      <w:r w:rsidR="006E314B">
        <w:rPr>
          <w:i/>
          <w:sz w:val="24"/>
          <w:szCs w:val="24"/>
        </w:rPr>
        <w:t>B</w:t>
      </w:r>
      <w:r w:rsidR="006E314B">
        <w:rPr>
          <w:sz w:val="24"/>
          <w:szCs w:val="24"/>
        </w:rPr>
        <w:t xml:space="preserve">, then we draw a directed edge from </w:t>
      </w:r>
      <w:r w:rsidR="006E314B">
        <w:rPr>
          <w:i/>
          <w:sz w:val="24"/>
          <w:szCs w:val="24"/>
        </w:rPr>
        <w:t>A</w:t>
      </w:r>
      <w:r w:rsidR="006E314B">
        <w:rPr>
          <w:sz w:val="24"/>
          <w:szCs w:val="24"/>
        </w:rPr>
        <w:t xml:space="preserve"> to </w:t>
      </w:r>
      <w:r w:rsidR="006E314B">
        <w:rPr>
          <w:i/>
          <w:sz w:val="24"/>
          <w:szCs w:val="24"/>
        </w:rPr>
        <w:t>B</w:t>
      </w:r>
      <w:r w:rsidR="006E314B">
        <w:rPr>
          <w:sz w:val="24"/>
          <w:szCs w:val="24"/>
        </w:rPr>
        <w:t xml:space="preserve">. </w:t>
      </w:r>
      <w:r w:rsidR="00AA7C74">
        <w:rPr>
          <w:sz w:val="24"/>
          <w:szCs w:val="24"/>
        </w:rPr>
        <w:lastRenderedPageBreak/>
        <w:t xml:space="preserve">Granger-causality tests are run </w:t>
      </w:r>
      <w:r w:rsidR="00C15690">
        <w:rPr>
          <w:sz w:val="24"/>
          <w:szCs w:val="24"/>
        </w:rPr>
        <w:t xml:space="preserve"> using </w:t>
      </w:r>
      <w:r w:rsidR="003B406E">
        <w:rPr>
          <w:sz w:val="24"/>
          <w:szCs w:val="24"/>
        </w:rPr>
        <w:t xml:space="preserve">both </w:t>
      </w:r>
      <w:r w:rsidR="00C15690">
        <w:rPr>
          <w:sz w:val="24"/>
          <w:szCs w:val="24"/>
        </w:rPr>
        <w:t>monthly data</w:t>
      </w:r>
      <w:r w:rsidR="00D54573">
        <w:rPr>
          <w:sz w:val="24"/>
          <w:szCs w:val="24"/>
        </w:rPr>
        <w:t>,</w:t>
      </w:r>
      <w:r w:rsidR="00C15690">
        <w:rPr>
          <w:sz w:val="24"/>
          <w:szCs w:val="24"/>
        </w:rPr>
        <w:t xml:space="preserve">  36-month rolling windows</w:t>
      </w:r>
      <w:r w:rsidR="003B406E">
        <w:rPr>
          <w:sz w:val="24"/>
          <w:szCs w:val="24"/>
        </w:rPr>
        <w:t>, and daily data</w:t>
      </w:r>
      <w:r w:rsidR="00D54573">
        <w:rPr>
          <w:sz w:val="24"/>
          <w:szCs w:val="24"/>
        </w:rPr>
        <w:t>,</w:t>
      </w:r>
      <w:r w:rsidR="003B406E">
        <w:rPr>
          <w:sz w:val="24"/>
          <w:szCs w:val="24"/>
        </w:rPr>
        <w:t xml:space="preserve"> 44-day rolling window</w:t>
      </w:r>
      <w:r w:rsidR="006E314B">
        <w:rPr>
          <w:sz w:val="24"/>
          <w:szCs w:val="24"/>
        </w:rPr>
        <w:t xml:space="preserve">. </w:t>
      </w:r>
    </w:p>
    <w:p w14:paraId="2B385605" w14:textId="676A9136" w:rsidR="006E314B" w:rsidRDefault="00AA7C74" w:rsidP="00590E71">
      <w:pPr>
        <w:pStyle w:val="ListParagraph"/>
        <w:spacing w:line="480" w:lineRule="auto"/>
        <w:ind w:left="0" w:firstLine="720"/>
        <w:jc w:val="both"/>
        <w:rPr>
          <w:sz w:val="24"/>
          <w:szCs w:val="24"/>
        </w:rPr>
      </w:pPr>
      <w:r>
        <w:rPr>
          <w:sz w:val="24"/>
          <w:szCs w:val="24"/>
        </w:rPr>
        <w:t>T</w:t>
      </w:r>
      <w:r w:rsidR="006E314B">
        <w:rPr>
          <w:sz w:val="24"/>
          <w:szCs w:val="24"/>
        </w:rPr>
        <w:t xml:space="preserve">he </w:t>
      </w:r>
      <w:r w:rsidR="0050711A">
        <w:rPr>
          <w:i/>
          <w:sz w:val="24"/>
          <w:szCs w:val="24"/>
        </w:rPr>
        <w:t xml:space="preserve">physical </w:t>
      </w:r>
      <w:r w:rsidR="006E314B">
        <w:rPr>
          <w:i/>
          <w:sz w:val="24"/>
          <w:szCs w:val="24"/>
        </w:rPr>
        <w:t>network</w:t>
      </w:r>
      <w:r w:rsidR="006E314B">
        <w:rPr>
          <w:sz w:val="24"/>
          <w:szCs w:val="24"/>
        </w:rPr>
        <w:t xml:space="preserve"> maps lenders to borrowers over </w:t>
      </w:r>
      <w:r w:rsidR="00AB1BE3">
        <w:rPr>
          <w:sz w:val="24"/>
          <w:szCs w:val="24"/>
        </w:rPr>
        <w:t>each month</w:t>
      </w:r>
      <w:r w:rsidR="006E314B">
        <w:rPr>
          <w:sz w:val="24"/>
          <w:szCs w:val="24"/>
        </w:rPr>
        <w:t xml:space="preserve">. Specifically, if Bank </w:t>
      </w:r>
      <w:r w:rsidR="006E314B">
        <w:rPr>
          <w:i/>
          <w:sz w:val="24"/>
          <w:szCs w:val="24"/>
        </w:rPr>
        <w:t>B</w:t>
      </w:r>
      <w:r w:rsidR="006E314B">
        <w:rPr>
          <w:sz w:val="24"/>
          <w:szCs w:val="24"/>
        </w:rPr>
        <w:t xml:space="preserve"> borrows from Bank </w:t>
      </w:r>
      <w:r w:rsidR="006E314B">
        <w:rPr>
          <w:i/>
          <w:sz w:val="24"/>
          <w:szCs w:val="24"/>
        </w:rPr>
        <w:t>A</w:t>
      </w:r>
      <w:r w:rsidR="006E314B">
        <w:rPr>
          <w:sz w:val="24"/>
          <w:szCs w:val="24"/>
        </w:rPr>
        <w:t xml:space="preserve"> within the time interval of interest, then an edge is drawn from </w:t>
      </w:r>
      <w:r w:rsidR="006E314B">
        <w:rPr>
          <w:i/>
          <w:sz w:val="24"/>
          <w:szCs w:val="24"/>
        </w:rPr>
        <w:t>A</w:t>
      </w:r>
      <w:r w:rsidR="006E314B">
        <w:rPr>
          <w:sz w:val="24"/>
          <w:szCs w:val="24"/>
        </w:rPr>
        <w:t xml:space="preserve"> to </w:t>
      </w:r>
      <w:r w:rsidR="006E314B">
        <w:rPr>
          <w:i/>
          <w:sz w:val="24"/>
          <w:szCs w:val="24"/>
        </w:rPr>
        <w:t>B.</w:t>
      </w:r>
      <w:r w:rsidR="006E314B">
        <w:rPr>
          <w:sz w:val="24"/>
          <w:szCs w:val="24"/>
        </w:rPr>
        <w:t xml:space="preserve"> In this manner interbank lending networks capture funding liquidity by distinguishing banks providing funds from banks receiving funds.</w:t>
      </w:r>
      <w:r w:rsidR="00B306AA">
        <w:rPr>
          <w:rStyle w:val="FootnoteReference"/>
          <w:sz w:val="24"/>
          <w:szCs w:val="24"/>
        </w:rPr>
        <w:footnoteReference w:id="17"/>
      </w:r>
      <w:r w:rsidR="003B406E">
        <w:rPr>
          <w:sz w:val="24"/>
          <w:szCs w:val="24"/>
        </w:rPr>
        <w:t xml:space="preserve"> </w:t>
      </w:r>
      <w:r w:rsidR="009C7083">
        <w:rPr>
          <w:sz w:val="24"/>
          <w:szCs w:val="24"/>
        </w:rPr>
        <w:t>Similar to the correlation network, we construct daily and monthly physical networks which account for all e</w:t>
      </w:r>
      <w:r w:rsidR="004B39A4">
        <w:rPr>
          <w:sz w:val="24"/>
          <w:szCs w:val="24"/>
        </w:rPr>
        <w:t>-</w:t>
      </w:r>
      <w:r w:rsidR="009C7083">
        <w:rPr>
          <w:sz w:val="24"/>
          <w:szCs w:val="24"/>
        </w:rPr>
        <w:t>Mid transactions during a day or a month.</w:t>
      </w:r>
      <w:r w:rsidR="00F47D85">
        <w:rPr>
          <w:sz w:val="24"/>
          <w:szCs w:val="24"/>
        </w:rPr>
        <w:t xml:space="preserve"> </w:t>
      </w:r>
    </w:p>
    <w:p w14:paraId="6EF7458A" w14:textId="1C8B6309" w:rsidR="00023D3A" w:rsidRDefault="006E314B" w:rsidP="001C6B3B">
      <w:pPr>
        <w:pStyle w:val="ListParagraph"/>
        <w:spacing w:line="480" w:lineRule="auto"/>
        <w:ind w:left="0" w:firstLine="720"/>
        <w:jc w:val="both"/>
        <w:rPr>
          <w:rFonts w:eastAsiaTheme="minorEastAsia"/>
          <w:sz w:val="24"/>
          <w:szCs w:val="24"/>
        </w:rPr>
      </w:pPr>
      <w:r>
        <w:rPr>
          <w:sz w:val="24"/>
          <w:szCs w:val="24"/>
        </w:rPr>
        <w:t xml:space="preserve">We extract various network </w:t>
      </w:r>
      <w:r w:rsidR="00D54573">
        <w:rPr>
          <w:sz w:val="24"/>
          <w:szCs w:val="24"/>
        </w:rPr>
        <w:t xml:space="preserve">interconnectedness </w:t>
      </w:r>
      <w:r>
        <w:rPr>
          <w:sz w:val="24"/>
          <w:szCs w:val="24"/>
        </w:rPr>
        <w:t>metrics and display these results in Table 3</w:t>
      </w:r>
      <w:r w:rsidR="003C5967">
        <w:rPr>
          <w:sz w:val="24"/>
          <w:szCs w:val="24"/>
        </w:rPr>
        <w:t xml:space="preserve">, taking care to </w:t>
      </w:r>
      <w:r w:rsidR="000F4DA8">
        <w:rPr>
          <w:sz w:val="24"/>
          <w:szCs w:val="24"/>
        </w:rPr>
        <w:t>normalize</w:t>
      </w:r>
      <w:r w:rsidR="003C5967">
        <w:rPr>
          <w:sz w:val="24"/>
          <w:szCs w:val="24"/>
        </w:rPr>
        <w:t xml:space="preserve"> these statistics</w:t>
      </w:r>
      <w:r w:rsidR="000F4DA8">
        <w:rPr>
          <w:sz w:val="24"/>
          <w:szCs w:val="24"/>
        </w:rPr>
        <w:t xml:space="preserve"> by the </w:t>
      </w:r>
      <w:r w:rsidR="003C3614">
        <w:rPr>
          <w:sz w:val="24"/>
          <w:szCs w:val="24"/>
        </w:rPr>
        <w:t>number of banks in the network</w:t>
      </w:r>
      <w:r w:rsidR="000F4DA8">
        <w:rPr>
          <w:sz w:val="24"/>
          <w:szCs w:val="24"/>
        </w:rPr>
        <w:t xml:space="preserve">, so that appropriate comparisons can be made between each network on these metrics. </w:t>
      </w:r>
      <w:r>
        <w:rPr>
          <w:sz w:val="24"/>
          <w:szCs w:val="24"/>
        </w:rPr>
        <w:t xml:space="preserve">First, we estimate the degree of each network, defined as the number of connections as a proportion of all possible connections. </w:t>
      </w:r>
      <w:r w:rsidR="00D54573">
        <w:rPr>
          <w:sz w:val="24"/>
          <w:szCs w:val="24"/>
        </w:rPr>
        <w:t>W</w:t>
      </w:r>
      <w:r w:rsidR="00023D3A">
        <w:rPr>
          <w:sz w:val="24"/>
          <w:szCs w:val="24"/>
        </w:rPr>
        <w:t xml:space="preserve">e </w:t>
      </w:r>
      <w:r w:rsidR="00D54573">
        <w:rPr>
          <w:sz w:val="24"/>
          <w:szCs w:val="24"/>
        </w:rPr>
        <w:t xml:space="preserve">follow </w:t>
      </w:r>
      <w:r w:rsidR="00126EF9">
        <w:rPr>
          <w:sz w:val="24"/>
          <w:szCs w:val="24"/>
        </w:rPr>
        <w:t xml:space="preserve">the notation in Billio et al. (2012) and </w:t>
      </w:r>
      <w:r w:rsidR="00023D3A">
        <w:rPr>
          <w:sz w:val="24"/>
          <w:szCs w:val="24"/>
        </w:rPr>
        <w:t xml:space="preserve">introduce the indicator function </w:t>
      </w:r>
      <m:oMath>
        <m:r>
          <w:rPr>
            <w:rFonts w:ascii="Cambria Math" w:hAnsi="Cambria Math"/>
            <w:sz w:val="24"/>
            <w:szCs w:val="24"/>
          </w:rPr>
          <m:t>A→B</m:t>
        </m:r>
      </m:oMath>
      <w:r w:rsidR="00023D3A">
        <w:rPr>
          <w:rFonts w:eastAsiaTheme="minorEastAsia"/>
          <w:sz w:val="24"/>
          <w:szCs w:val="24"/>
        </w:rPr>
        <w:t xml:space="preserve"> denoting whether an edge exists from bank </w:t>
      </w:r>
      <w:r w:rsidR="00023D3A" w:rsidRPr="0085633E">
        <w:rPr>
          <w:rFonts w:eastAsiaTheme="minorEastAsia"/>
          <w:i/>
          <w:sz w:val="24"/>
          <w:szCs w:val="24"/>
        </w:rPr>
        <w:t>A</w:t>
      </w:r>
      <w:r w:rsidR="00023D3A">
        <w:rPr>
          <w:rFonts w:eastAsiaTheme="minorEastAsia"/>
          <w:sz w:val="24"/>
          <w:szCs w:val="24"/>
        </w:rPr>
        <w:t xml:space="preserve"> to bank </w:t>
      </w:r>
      <w:r w:rsidR="00023D3A" w:rsidRPr="0085633E">
        <w:rPr>
          <w:rFonts w:eastAsiaTheme="minorEastAsia"/>
          <w:i/>
          <w:sz w:val="24"/>
          <w:szCs w:val="24"/>
        </w:rPr>
        <w:t>B</w:t>
      </w:r>
      <w:r w:rsidR="00023D3A">
        <w:rPr>
          <w:rFonts w:eastAsiaTheme="minorEastAsia"/>
          <w:sz w:val="24"/>
          <w:szCs w:val="24"/>
        </w:rPr>
        <w:t xml:space="preserve">. </w:t>
      </w:r>
      <w:r w:rsidR="0097741F">
        <w:rPr>
          <w:rFonts w:eastAsiaTheme="minorEastAsia"/>
          <w:sz w:val="24"/>
          <w:szCs w:val="24"/>
        </w:rPr>
        <w:t>D</w:t>
      </w:r>
      <w:r w:rsidR="00023D3A">
        <w:rPr>
          <w:rFonts w:eastAsiaTheme="minorEastAsia"/>
          <w:sz w:val="24"/>
          <w:szCs w:val="24"/>
        </w:rPr>
        <w:t xml:space="preserve">egree is </w:t>
      </w:r>
      <w:r w:rsidR="003B1A86">
        <w:rPr>
          <w:rFonts w:eastAsiaTheme="minorEastAsia"/>
          <w:sz w:val="24"/>
          <w:szCs w:val="24"/>
        </w:rPr>
        <w:t xml:space="preserve">then </w:t>
      </w:r>
      <w:r w:rsidR="00023D3A">
        <w:rPr>
          <w:rFonts w:eastAsiaTheme="minorEastAsia"/>
          <w:sz w:val="24"/>
          <w:szCs w:val="24"/>
        </w:rPr>
        <w:t xml:space="preserve">defined as </w:t>
      </w:r>
    </w:p>
    <w:p w14:paraId="41D45EBF" w14:textId="35B2FAB2" w:rsidR="00023D3A" w:rsidRDefault="00023D3A" w:rsidP="0085633E">
      <w:pPr>
        <w:pStyle w:val="ListParagraph"/>
        <w:spacing w:line="480" w:lineRule="auto"/>
        <w:ind w:left="0"/>
        <w:jc w:val="center"/>
        <w:rPr>
          <w:rFonts w:eastAsiaTheme="minorEastAsia"/>
          <w:sz w:val="24"/>
          <w:szCs w:val="24"/>
        </w:rPr>
      </w:pPr>
      <m:oMath>
        <m:r>
          <w:rPr>
            <w:rFonts w:ascii="Cambria Math" w:eastAsiaTheme="minorEastAsia" w:hAnsi="Cambria Math"/>
            <w:sz w:val="24"/>
            <w:szCs w:val="24"/>
          </w:rPr>
          <m:t xml:space="preserve">Degree=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N(N-1)</m:t>
            </m:r>
          </m:den>
        </m:f>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A=1</m:t>
            </m:r>
          </m:sub>
          <m:sup>
            <m:r>
              <w:rPr>
                <w:rFonts w:ascii="Cambria Math" w:eastAsiaTheme="minorEastAsia" w:hAnsi="Cambria Math"/>
                <w:sz w:val="24"/>
                <w:szCs w:val="24"/>
              </w:rPr>
              <m:t>N</m:t>
            </m:r>
          </m:sup>
          <m:e>
            <m:nary>
              <m:naryPr>
                <m:chr m:val="∑"/>
                <m:limLoc m:val="undOvr"/>
                <m:supHide m:val="1"/>
                <m:ctrlPr>
                  <w:rPr>
                    <w:rFonts w:ascii="Cambria Math" w:eastAsiaTheme="minorEastAsia" w:hAnsi="Cambria Math"/>
                    <w:i/>
                    <w:sz w:val="24"/>
                    <w:szCs w:val="24"/>
                  </w:rPr>
                </m:ctrlPr>
              </m:naryPr>
              <m:sub>
                <m:r>
                  <w:rPr>
                    <w:rFonts w:ascii="Cambria Math" w:eastAsiaTheme="minorEastAsia" w:hAnsi="Cambria Math"/>
                    <w:sz w:val="24"/>
                    <w:szCs w:val="24"/>
                  </w:rPr>
                  <m:t>B≠A</m:t>
                </m:r>
              </m:sub>
              <m:sup/>
              <m:e>
                <m:r>
                  <w:rPr>
                    <w:rFonts w:ascii="Cambria Math" w:eastAsiaTheme="minorEastAsia" w:hAnsi="Cambria Math"/>
                    <w:sz w:val="24"/>
                    <w:szCs w:val="24"/>
                  </w:rPr>
                  <m:t>A→B</m:t>
                </m:r>
              </m:e>
            </m:nary>
          </m:e>
        </m:nary>
      </m:oMath>
      <w:r>
        <w:rPr>
          <w:rFonts w:eastAsiaTheme="minorEastAsia"/>
          <w:sz w:val="24"/>
          <w:szCs w:val="24"/>
        </w:rPr>
        <w:t>,</w:t>
      </w:r>
      <w:r w:rsidR="00BF5A7A">
        <w:rPr>
          <w:rFonts w:eastAsiaTheme="minorEastAsia"/>
          <w:sz w:val="24"/>
          <w:szCs w:val="24"/>
        </w:rPr>
        <w:tab/>
        <w:t>(9)</w:t>
      </w:r>
    </w:p>
    <w:p w14:paraId="60511F3F" w14:textId="77777777" w:rsidR="003D7AF8" w:rsidRDefault="00023D3A" w:rsidP="001C6B3B">
      <w:pPr>
        <w:pStyle w:val="ListParagraph"/>
        <w:spacing w:line="480" w:lineRule="auto"/>
        <w:ind w:left="0"/>
        <w:jc w:val="both"/>
        <w:rPr>
          <w:sz w:val="24"/>
          <w:szCs w:val="24"/>
        </w:rPr>
      </w:pPr>
      <w:r>
        <w:rPr>
          <w:sz w:val="24"/>
          <w:szCs w:val="24"/>
        </w:rPr>
        <w:t xml:space="preserve">where </w:t>
      </w:r>
      <w:r>
        <w:rPr>
          <w:i/>
          <w:sz w:val="24"/>
          <w:szCs w:val="24"/>
        </w:rPr>
        <w:t>N</w:t>
      </w:r>
      <w:r>
        <w:rPr>
          <w:sz w:val="24"/>
          <w:szCs w:val="24"/>
        </w:rPr>
        <w:t xml:space="preserve"> is the total number of banks (nodes) in the network.</w:t>
      </w:r>
      <w:r w:rsidR="00814727">
        <w:rPr>
          <w:sz w:val="24"/>
          <w:szCs w:val="24"/>
        </w:rPr>
        <w:t xml:space="preserve"> </w:t>
      </w:r>
      <w:r w:rsidR="006E314B">
        <w:rPr>
          <w:sz w:val="24"/>
          <w:szCs w:val="24"/>
        </w:rPr>
        <w:t xml:space="preserve">Degree is a network-wide measure used by Billio et al. (2012) to estimate the risk of a systemic event. Within the </w:t>
      </w:r>
      <w:r w:rsidR="00D73D2E">
        <w:rPr>
          <w:sz w:val="24"/>
          <w:szCs w:val="24"/>
        </w:rPr>
        <w:t xml:space="preserve">physical </w:t>
      </w:r>
      <w:r w:rsidR="006E314B">
        <w:rPr>
          <w:sz w:val="24"/>
          <w:szCs w:val="24"/>
        </w:rPr>
        <w:t xml:space="preserve">network, lower average degree </w:t>
      </w:r>
      <w:r w:rsidR="00227174">
        <w:rPr>
          <w:sz w:val="24"/>
          <w:szCs w:val="24"/>
        </w:rPr>
        <w:t xml:space="preserve">may </w:t>
      </w:r>
      <w:r w:rsidR="006E314B">
        <w:rPr>
          <w:sz w:val="24"/>
          <w:szCs w:val="24"/>
        </w:rPr>
        <w:t xml:space="preserve">indicate </w:t>
      </w:r>
      <w:r w:rsidR="00227174">
        <w:rPr>
          <w:sz w:val="24"/>
          <w:szCs w:val="24"/>
        </w:rPr>
        <w:t xml:space="preserve">a lower level of </w:t>
      </w:r>
      <w:r w:rsidR="006E314B">
        <w:rPr>
          <w:sz w:val="24"/>
          <w:szCs w:val="24"/>
        </w:rPr>
        <w:t>liquidity on e-MID.</w:t>
      </w:r>
      <w:r w:rsidR="00210789">
        <w:rPr>
          <w:sz w:val="24"/>
          <w:szCs w:val="24"/>
        </w:rPr>
        <w:t xml:space="preserve"> </w:t>
      </w:r>
    </w:p>
    <w:p w14:paraId="087ED449" w14:textId="23288EED" w:rsidR="00210789" w:rsidRPr="001C6B3B" w:rsidRDefault="00210789" w:rsidP="00590E71">
      <w:pPr>
        <w:pStyle w:val="ListParagraph"/>
        <w:spacing w:line="480" w:lineRule="auto"/>
        <w:ind w:left="0" w:firstLine="720"/>
        <w:jc w:val="both"/>
        <w:rPr>
          <w:sz w:val="24"/>
          <w:szCs w:val="24"/>
        </w:rPr>
      </w:pPr>
      <w:r>
        <w:rPr>
          <w:sz w:val="24"/>
          <w:szCs w:val="24"/>
        </w:rPr>
        <w:lastRenderedPageBreak/>
        <w:t xml:space="preserve">Our second metric of connectivity is </w:t>
      </w:r>
      <w:r w:rsidR="001C6B3B">
        <w:rPr>
          <w:sz w:val="24"/>
          <w:szCs w:val="24"/>
        </w:rPr>
        <w:t xml:space="preserve">the </w:t>
      </w:r>
      <w:r>
        <w:rPr>
          <w:sz w:val="24"/>
          <w:szCs w:val="24"/>
        </w:rPr>
        <w:t xml:space="preserve">clustering coefficient, which measures </w:t>
      </w:r>
      <w:r w:rsidR="00AB305C">
        <w:rPr>
          <w:sz w:val="24"/>
          <w:szCs w:val="24"/>
        </w:rPr>
        <w:t xml:space="preserve">how </w:t>
      </w:r>
      <w:r w:rsidR="00AB305C" w:rsidRPr="001C6B3B">
        <w:rPr>
          <w:sz w:val="24"/>
          <w:szCs w:val="24"/>
        </w:rPr>
        <w:t xml:space="preserve">often triangular connections occur or </w:t>
      </w:r>
      <w:r w:rsidRPr="001C6B3B">
        <w:rPr>
          <w:sz w:val="24"/>
          <w:szCs w:val="24"/>
        </w:rPr>
        <w:t xml:space="preserve">the probability that neighbors of a bank are themselves connected. </w:t>
      </w:r>
      <w:r w:rsidR="00970EE1" w:rsidRPr="001C6B3B">
        <w:rPr>
          <w:sz w:val="24"/>
          <w:szCs w:val="24"/>
        </w:rPr>
        <w:t>T</w:t>
      </w:r>
      <w:r w:rsidRPr="001C6B3B">
        <w:rPr>
          <w:sz w:val="24"/>
          <w:szCs w:val="24"/>
        </w:rPr>
        <w:t>he clustering coefficient (</w:t>
      </w:r>
      <w:r w:rsidRPr="001C6B3B">
        <w:rPr>
          <w:i/>
          <w:sz w:val="24"/>
          <w:szCs w:val="24"/>
        </w:rPr>
        <w:t>CC</w:t>
      </w:r>
      <w:r w:rsidRPr="001C6B3B">
        <w:rPr>
          <w:sz w:val="24"/>
          <w:szCs w:val="24"/>
        </w:rPr>
        <w:t xml:space="preserve">) </w:t>
      </w:r>
      <w:r w:rsidR="00970EE1" w:rsidRPr="001C6B3B">
        <w:rPr>
          <w:sz w:val="24"/>
          <w:szCs w:val="24"/>
        </w:rPr>
        <w:t xml:space="preserve">is defined as </w:t>
      </w:r>
    </w:p>
    <w:p w14:paraId="04A2B436" w14:textId="274D2BFD" w:rsidR="00210789" w:rsidRPr="00C74A1C" w:rsidRDefault="00210789" w:rsidP="00210789">
      <w:pPr>
        <w:pStyle w:val="ListParagraph"/>
        <w:spacing w:line="480" w:lineRule="auto"/>
        <w:jc w:val="center"/>
        <w:rPr>
          <w:sz w:val="24"/>
          <w:szCs w:val="24"/>
        </w:rPr>
      </w:pPr>
      <m:oMath>
        <m:r>
          <w:rPr>
            <w:rFonts w:ascii="Cambria Math" w:hAnsi="Cambria Math"/>
            <w:sz w:val="24"/>
            <w:szCs w:val="24"/>
          </w:rPr>
          <m:t>CC=</m:t>
        </m:r>
        <m:f>
          <m:fPr>
            <m:ctrlPr>
              <w:rPr>
                <w:rFonts w:ascii="Cambria Math" w:hAnsi="Cambria Math"/>
                <w:i/>
                <w:sz w:val="24"/>
                <w:szCs w:val="24"/>
              </w:rPr>
            </m:ctrlPr>
          </m:fPr>
          <m:num>
            <m:r>
              <w:rPr>
                <w:rFonts w:ascii="Cambria Math" w:hAnsi="Cambria Math"/>
                <w:sz w:val="24"/>
                <w:szCs w:val="24"/>
              </w:rPr>
              <m:t>3×number of connected triples</m:t>
            </m:r>
          </m:num>
          <m:den>
            <m:r>
              <w:rPr>
                <w:rFonts w:ascii="Cambria Math" w:hAnsi="Cambria Math"/>
                <w:sz w:val="24"/>
                <w:szCs w:val="24"/>
              </w:rPr>
              <m:t>number of possible connected triples</m:t>
            </m:r>
          </m:den>
        </m:f>
      </m:oMath>
      <w:r>
        <w:rPr>
          <w:rFonts w:eastAsiaTheme="minorEastAsia"/>
          <w:sz w:val="24"/>
          <w:szCs w:val="24"/>
        </w:rPr>
        <w:t>,</w:t>
      </w:r>
      <w:r w:rsidR="00BF5A7A">
        <w:rPr>
          <w:rFonts w:eastAsiaTheme="minorEastAsia"/>
          <w:sz w:val="24"/>
          <w:szCs w:val="24"/>
        </w:rPr>
        <w:tab/>
        <w:t>(10)</w:t>
      </w:r>
    </w:p>
    <w:p w14:paraId="17721477" w14:textId="6AA585A5" w:rsidR="003D7AF8" w:rsidRDefault="00210789" w:rsidP="001C6B3B">
      <w:pPr>
        <w:pStyle w:val="ListParagraph"/>
        <w:spacing w:line="480" w:lineRule="auto"/>
        <w:ind w:left="0"/>
        <w:jc w:val="both"/>
      </w:pPr>
      <w:r w:rsidRPr="001C6B3B">
        <w:rPr>
          <w:sz w:val="24"/>
          <w:szCs w:val="24"/>
        </w:rPr>
        <w:t xml:space="preserve">where a connected triple means any three banks </w:t>
      </w:r>
      <w:r w:rsidRPr="001C6B3B">
        <w:rPr>
          <w:i/>
          <w:sz w:val="24"/>
          <w:szCs w:val="24"/>
        </w:rPr>
        <w:t>A,</w:t>
      </w:r>
      <w:r w:rsidR="001C6B3B">
        <w:rPr>
          <w:i/>
          <w:sz w:val="24"/>
          <w:szCs w:val="24"/>
        </w:rPr>
        <w:t xml:space="preserve"> </w:t>
      </w:r>
      <w:r w:rsidRPr="001C6B3B">
        <w:rPr>
          <w:i/>
          <w:sz w:val="24"/>
          <w:szCs w:val="24"/>
        </w:rPr>
        <w:t xml:space="preserve">B </w:t>
      </w:r>
      <w:r w:rsidRPr="001C6B3B">
        <w:rPr>
          <w:sz w:val="24"/>
          <w:szCs w:val="24"/>
        </w:rPr>
        <w:t>and</w:t>
      </w:r>
      <w:r w:rsidRPr="001C6B3B">
        <w:rPr>
          <w:i/>
          <w:sz w:val="24"/>
          <w:szCs w:val="24"/>
        </w:rPr>
        <w:t xml:space="preserve"> C</w:t>
      </w:r>
      <w:r w:rsidRPr="001C6B3B">
        <w:rPr>
          <w:sz w:val="24"/>
          <w:szCs w:val="24"/>
        </w:rPr>
        <w:t xml:space="preserve"> such that </w:t>
      </w:r>
      <m:oMath>
        <m:r>
          <w:rPr>
            <w:rFonts w:ascii="Cambria Math" w:hAnsi="Cambria Math"/>
            <w:sz w:val="24"/>
            <w:szCs w:val="24"/>
          </w:rPr>
          <m:t>A→B</m:t>
        </m:r>
      </m:oMath>
      <w:r w:rsidR="0069425C" w:rsidRPr="001C6B3B">
        <w:rPr>
          <w:sz w:val="24"/>
          <w:szCs w:val="24"/>
        </w:rPr>
        <w:t xml:space="preserve">, </w:t>
      </w:r>
      <m:oMath>
        <m:r>
          <w:rPr>
            <w:rFonts w:ascii="Cambria Math" w:hAnsi="Cambria Math"/>
            <w:sz w:val="24"/>
            <w:szCs w:val="24"/>
          </w:rPr>
          <m:t>A→C</m:t>
        </m:r>
      </m:oMath>
      <w:r w:rsidR="0069425C" w:rsidRPr="001C6B3B">
        <w:rPr>
          <w:rFonts w:eastAsiaTheme="minorEastAsia"/>
          <w:sz w:val="24"/>
          <w:szCs w:val="24"/>
        </w:rPr>
        <w:t xml:space="preserve"> and B</w:t>
      </w:r>
      <m:oMath>
        <m:r>
          <w:rPr>
            <w:rFonts w:ascii="Cambria Math" w:hAnsi="Cambria Math"/>
            <w:sz w:val="24"/>
            <w:szCs w:val="24"/>
          </w:rPr>
          <m:t>→C</m:t>
        </m:r>
      </m:oMath>
      <w:r w:rsidRPr="001C6B3B">
        <w:rPr>
          <w:sz w:val="24"/>
          <w:szCs w:val="24"/>
        </w:rPr>
        <w:t xml:space="preserve">. </w:t>
      </w:r>
      <w:r w:rsidR="000610E8" w:rsidRPr="001C6B3B">
        <w:rPr>
          <w:sz w:val="24"/>
          <w:szCs w:val="24"/>
        </w:rPr>
        <w:t>C</w:t>
      </w:r>
      <w:r w:rsidR="00EE6FEA" w:rsidRPr="001C6B3B">
        <w:rPr>
          <w:sz w:val="24"/>
          <w:szCs w:val="24"/>
        </w:rPr>
        <w:t>lustering coefficient</w:t>
      </w:r>
      <w:r w:rsidR="000610E8" w:rsidRPr="001C6B3B">
        <w:rPr>
          <w:sz w:val="24"/>
          <w:szCs w:val="24"/>
        </w:rPr>
        <w:t>s</w:t>
      </w:r>
      <w:r w:rsidR="00EE6FEA" w:rsidRPr="001C6B3B">
        <w:rPr>
          <w:sz w:val="24"/>
          <w:szCs w:val="24"/>
        </w:rPr>
        <w:t xml:space="preserve"> </w:t>
      </w:r>
      <w:r w:rsidR="00992E5A" w:rsidRPr="001C6B3B">
        <w:rPr>
          <w:sz w:val="24"/>
          <w:szCs w:val="24"/>
        </w:rPr>
        <w:t xml:space="preserve">approaching the maximum value of 1 </w:t>
      </w:r>
      <w:r w:rsidR="00EE6FEA" w:rsidRPr="001C6B3B">
        <w:rPr>
          <w:sz w:val="24"/>
          <w:szCs w:val="24"/>
        </w:rPr>
        <w:t xml:space="preserve">would indicate </w:t>
      </w:r>
      <w:r w:rsidR="00E6043F" w:rsidRPr="001C6B3B">
        <w:rPr>
          <w:sz w:val="24"/>
          <w:szCs w:val="24"/>
        </w:rPr>
        <w:t xml:space="preserve">higher levels of </w:t>
      </w:r>
      <w:r w:rsidR="003D7AF8">
        <w:rPr>
          <w:sz w:val="24"/>
          <w:szCs w:val="24"/>
        </w:rPr>
        <w:t>connectedness</w:t>
      </w:r>
      <w:r w:rsidR="00EE6FEA" w:rsidRPr="001C6B3B">
        <w:rPr>
          <w:sz w:val="24"/>
          <w:szCs w:val="24"/>
        </w:rPr>
        <w:t>.</w:t>
      </w:r>
      <w:r w:rsidR="00EE6FEA">
        <w:t xml:space="preserve"> </w:t>
      </w:r>
    </w:p>
    <w:p w14:paraId="79E390BD" w14:textId="2350CB4E" w:rsidR="00F975E8" w:rsidRDefault="00210789" w:rsidP="00590E71">
      <w:pPr>
        <w:pStyle w:val="ListParagraph"/>
        <w:spacing w:line="480" w:lineRule="auto"/>
        <w:ind w:left="0" w:firstLine="720"/>
        <w:jc w:val="both"/>
        <w:rPr>
          <w:sz w:val="24"/>
          <w:szCs w:val="24"/>
        </w:rPr>
      </w:pPr>
      <w:r>
        <w:rPr>
          <w:sz w:val="24"/>
          <w:szCs w:val="24"/>
        </w:rPr>
        <w:t xml:space="preserve">The third measure of network connectivity, </w:t>
      </w:r>
      <w:r w:rsidR="003D7AF8">
        <w:rPr>
          <w:sz w:val="24"/>
          <w:szCs w:val="24"/>
        </w:rPr>
        <w:t xml:space="preserve">the largest strongly connected component (or </w:t>
      </w:r>
      <w:r>
        <w:rPr>
          <w:sz w:val="24"/>
          <w:szCs w:val="24"/>
        </w:rPr>
        <w:t>LSCC</w:t>
      </w:r>
      <w:r w:rsidR="003D7AF8">
        <w:rPr>
          <w:sz w:val="24"/>
          <w:szCs w:val="24"/>
        </w:rPr>
        <w:t>)</w:t>
      </w:r>
      <w:r>
        <w:rPr>
          <w:sz w:val="24"/>
          <w:szCs w:val="24"/>
        </w:rPr>
        <w:t xml:space="preserve">, is the proportion of </w:t>
      </w:r>
      <w:r w:rsidR="003D7AF8">
        <w:rPr>
          <w:sz w:val="24"/>
          <w:szCs w:val="24"/>
        </w:rPr>
        <w:t xml:space="preserve">banks that are connected to other banks </w:t>
      </w:r>
      <w:r>
        <w:rPr>
          <w:sz w:val="24"/>
          <w:szCs w:val="24"/>
        </w:rPr>
        <w:t>by following directed edges on the network</w:t>
      </w:r>
      <w:r w:rsidR="003D7AF8">
        <w:rPr>
          <w:sz w:val="24"/>
          <w:szCs w:val="24"/>
        </w:rPr>
        <w:t xml:space="preserve"> scaled by the total number of banks in the network</w:t>
      </w:r>
      <w:r>
        <w:rPr>
          <w:sz w:val="24"/>
          <w:szCs w:val="24"/>
        </w:rPr>
        <w:t xml:space="preserve">. </w:t>
      </w:r>
      <w:r w:rsidR="00F975E8">
        <w:rPr>
          <w:sz w:val="24"/>
          <w:szCs w:val="24"/>
        </w:rPr>
        <w:t>H</w:t>
      </w:r>
      <w:r>
        <w:rPr>
          <w:sz w:val="24"/>
          <w:szCs w:val="24"/>
        </w:rPr>
        <w:t xml:space="preserve">ence, </w:t>
      </w:r>
      <w:r w:rsidR="00F975E8">
        <w:rPr>
          <w:sz w:val="24"/>
          <w:szCs w:val="24"/>
        </w:rPr>
        <w:t xml:space="preserve">the LSCC also </w:t>
      </w:r>
      <w:r>
        <w:rPr>
          <w:sz w:val="24"/>
          <w:szCs w:val="24"/>
        </w:rPr>
        <w:t xml:space="preserve">measures the level of </w:t>
      </w:r>
      <w:r w:rsidR="001C6B3B">
        <w:rPr>
          <w:sz w:val="24"/>
          <w:szCs w:val="24"/>
        </w:rPr>
        <w:t xml:space="preserve">interconnectedness </w:t>
      </w:r>
      <w:r>
        <w:rPr>
          <w:sz w:val="24"/>
          <w:szCs w:val="24"/>
        </w:rPr>
        <w:t>in the network</w:t>
      </w:r>
      <w:r w:rsidR="00F975E8">
        <w:rPr>
          <w:sz w:val="24"/>
          <w:szCs w:val="24"/>
        </w:rPr>
        <w:t xml:space="preserve"> with a</w:t>
      </w:r>
      <w:r>
        <w:rPr>
          <w:sz w:val="24"/>
          <w:szCs w:val="24"/>
        </w:rPr>
        <w:t xml:space="preserve">n LSCC </w:t>
      </w:r>
      <w:r w:rsidR="00F975E8">
        <w:rPr>
          <w:sz w:val="24"/>
          <w:szCs w:val="24"/>
        </w:rPr>
        <w:t xml:space="preserve">of </w:t>
      </w:r>
      <w:r>
        <w:rPr>
          <w:sz w:val="24"/>
          <w:szCs w:val="24"/>
        </w:rPr>
        <w:t>one</w:t>
      </w:r>
      <w:r w:rsidRPr="00C74A1C">
        <w:rPr>
          <w:sz w:val="24"/>
          <w:szCs w:val="24"/>
        </w:rPr>
        <w:t xml:space="preserve"> indicat</w:t>
      </w:r>
      <w:r w:rsidR="00F975E8">
        <w:rPr>
          <w:sz w:val="24"/>
          <w:szCs w:val="24"/>
        </w:rPr>
        <w:t>ing</w:t>
      </w:r>
      <w:r w:rsidRPr="00C74A1C">
        <w:rPr>
          <w:sz w:val="24"/>
          <w:szCs w:val="24"/>
        </w:rPr>
        <w:t xml:space="preserve"> that </w:t>
      </w:r>
      <w:r>
        <w:rPr>
          <w:sz w:val="24"/>
          <w:szCs w:val="24"/>
        </w:rPr>
        <w:t>any bank can reach every other bank while an LSCC</w:t>
      </w:r>
      <w:r w:rsidRPr="00C74A1C">
        <w:rPr>
          <w:sz w:val="24"/>
          <w:szCs w:val="24"/>
        </w:rPr>
        <w:t xml:space="preserve"> closer to zero indicates </w:t>
      </w:r>
      <w:r>
        <w:rPr>
          <w:sz w:val="24"/>
          <w:szCs w:val="24"/>
        </w:rPr>
        <w:t xml:space="preserve">a </w:t>
      </w:r>
      <w:r w:rsidRPr="00C74A1C">
        <w:rPr>
          <w:sz w:val="24"/>
          <w:szCs w:val="24"/>
        </w:rPr>
        <w:t>highly fragmented</w:t>
      </w:r>
      <w:r>
        <w:rPr>
          <w:sz w:val="24"/>
          <w:szCs w:val="24"/>
        </w:rPr>
        <w:t xml:space="preserve"> network</w:t>
      </w:r>
      <w:r w:rsidR="00F975E8">
        <w:rPr>
          <w:sz w:val="24"/>
          <w:szCs w:val="24"/>
        </w:rPr>
        <w:t>.</w:t>
      </w:r>
    </w:p>
    <w:p w14:paraId="055DCCA3" w14:textId="67C04EF5" w:rsidR="00210789" w:rsidRPr="0085633E" w:rsidRDefault="00F975E8" w:rsidP="00590E71">
      <w:pPr>
        <w:pStyle w:val="ListParagraph"/>
        <w:spacing w:line="480" w:lineRule="auto"/>
        <w:ind w:left="0" w:firstLine="720"/>
        <w:jc w:val="both"/>
        <w:rPr>
          <w:sz w:val="24"/>
          <w:szCs w:val="24"/>
        </w:rPr>
      </w:pPr>
      <w:r>
        <w:rPr>
          <w:sz w:val="24"/>
          <w:szCs w:val="24"/>
        </w:rPr>
        <w:t>Our fourth</w:t>
      </w:r>
      <w:r w:rsidR="00210789">
        <w:rPr>
          <w:sz w:val="24"/>
          <w:szCs w:val="24"/>
        </w:rPr>
        <w:t xml:space="preserve"> measure of interconnectivity </w:t>
      </w:r>
      <w:r w:rsidR="001C6B3B">
        <w:rPr>
          <w:sz w:val="24"/>
          <w:szCs w:val="24"/>
        </w:rPr>
        <w:t xml:space="preserve">we </w:t>
      </w:r>
      <w:r>
        <w:rPr>
          <w:sz w:val="24"/>
          <w:szCs w:val="24"/>
        </w:rPr>
        <w:t xml:space="preserve">utlilize </w:t>
      </w:r>
      <w:r w:rsidR="00210789">
        <w:rPr>
          <w:sz w:val="24"/>
          <w:szCs w:val="24"/>
        </w:rPr>
        <w:t xml:space="preserve">is closeness, which measures </w:t>
      </w:r>
      <w:r w:rsidR="00210789" w:rsidRPr="00814727">
        <w:rPr>
          <w:sz w:val="24"/>
          <w:szCs w:val="24"/>
        </w:rPr>
        <w:t xml:space="preserve">how many steps </w:t>
      </w:r>
      <w:r w:rsidR="00210789">
        <w:rPr>
          <w:sz w:val="24"/>
          <w:szCs w:val="24"/>
        </w:rPr>
        <w:t>are between banks on average</w:t>
      </w:r>
      <w:r w:rsidR="00210789" w:rsidRPr="00C456CC">
        <w:rPr>
          <w:sz w:val="24"/>
          <w:szCs w:val="24"/>
        </w:rPr>
        <w:t>.</w:t>
      </w:r>
      <w:r w:rsidR="00210789">
        <w:rPr>
          <w:sz w:val="24"/>
          <w:szCs w:val="24"/>
        </w:rPr>
        <w:t xml:space="preserve"> To construct this measure, </w:t>
      </w:r>
      <w:r w:rsidR="00210789">
        <w:rPr>
          <w:rFonts w:eastAsiaTheme="minorEastAsia"/>
          <w:sz w:val="24"/>
          <w:szCs w:val="24"/>
        </w:rPr>
        <w:t xml:space="preserve">let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AB</m:t>
            </m:r>
          </m:sub>
        </m:sSub>
      </m:oMath>
      <w:r w:rsidR="00210789">
        <w:rPr>
          <w:rFonts w:eastAsiaTheme="minorEastAsia"/>
          <w:sz w:val="24"/>
          <w:szCs w:val="24"/>
        </w:rPr>
        <w:t xml:space="preserve"> be the length of the shortest path from bank </w:t>
      </w:r>
      <w:r w:rsidR="00210789" w:rsidRPr="00AE4D2F">
        <w:rPr>
          <w:rFonts w:eastAsiaTheme="minorEastAsia"/>
          <w:i/>
          <w:sz w:val="24"/>
          <w:szCs w:val="24"/>
        </w:rPr>
        <w:t>A</w:t>
      </w:r>
      <w:r w:rsidR="00210789">
        <w:rPr>
          <w:rFonts w:eastAsiaTheme="minorEastAsia"/>
          <w:sz w:val="24"/>
          <w:szCs w:val="24"/>
        </w:rPr>
        <w:t xml:space="preserve"> to bank </w:t>
      </w:r>
      <w:r w:rsidR="00210789" w:rsidRPr="00AE4D2F">
        <w:rPr>
          <w:rFonts w:eastAsiaTheme="minorEastAsia"/>
          <w:i/>
          <w:sz w:val="24"/>
          <w:szCs w:val="24"/>
        </w:rPr>
        <w:t>B</w:t>
      </w:r>
      <w:r w:rsidR="00210789" w:rsidRPr="00AE4D2F">
        <w:rPr>
          <w:rFonts w:eastAsiaTheme="minorEastAsia"/>
          <w:sz w:val="24"/>
          <w:szCs w:val="24"/>
        </w:rPr>
        <w:t>,</w:t>
      </w:r>
      <w:r w:rsidR="00210789">
        <w:rPr>
          <w:rFonts w:eastAsiaTheme="minorEastAsia"/>
          <w:sz w:val="24"/>
          <w:szCs w:val="24"/>
        </w:rPr>
        <w:t xml:space="preserve"> where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AB</m:t>
            </m:r>
          </m:sub>
        </m:sSub>
        <m:r>
          <w:rPr>
            <w:rFonts w:ascii="Cambria Math" w:eastAsiaTheme="minorEastAsia" w:hAnsi="Cambria Math"/>
            <w:sz w:val="24"/>
            <w:szCs w:val="24"/>
          </w:rPr>
          <m:t>=N-1</m:t>
        </m:r>
      </m:oMath>
      <w:r w:rsidR="00210789">
        <w:rPr>
          <w:rFonts w:eastAsiaTheme="minorEastAsia"/>
          <w:sz w:val="24"/>
          <w:szCs w:val="24"/>
        </w:rPr>
        <w:t xml:space="preserve"> if there is no path from bank </w:t>
      </w:r>
      <w:r w:rsidR="00210789" w:rsidRPr="00AE4D2F">
        <w:rPr>
          <w:rFonts w:eastAsiaTheme="minorEastAsia"/>
          <w:i/>
          <w:sz w:val="24"/>
          <w:szCs w:val="24"/>
        </w:rPr>
        <w:t>A</w:t>
      </w:r>
      <w:r w:rsidR="00210789">
        <w:rPr>
          <w:rFonts w:eastAsiaTheme="minorEastAsia"/>
          <w:sz w:val="24"/>
          <w:szCs w:val="24"/>
        </w:rPr>
        <w:t xml:space="preserve"> to bank </w:t>
      </w:r>
      <w:r w:rsidR="00210789" w:rsidRPr="00AE4D2F">
        <w:rPr>
          <w:rFonts w:eastAsiaTheme="minorEastAsia"/>
          <w:i/>
          <w:sz w:val="24"/>
          <w:szCs w:val="24"/>
        </w:rPr>
        <w:t>B</w:t>
      </w:r>
      <w:r w:rsidR="00210789">
        <w:rPr>
          <w:rFonts w:eastAsiaTheme="minorEastAsia"/>
          <w:i/>
          <w:sz w:val="24"/>
          <w:szCs w:val="24"/>
        </w:rPr>
        <w:t xml:space="preserve">. </w:t>
      </w:r>
      <w:r w:rsidR="00210789">
        <w:rPr>
          <w:rFonts w:eastAsiaTheme="minorEastAsia"/>
          <w:sz w:val="24"/>
          <w:szCs w:val="24"/>
        </w:rPr>
        <w:t xml:space="preserve">Then closeness is defined as </w:t>
      </w:r>
    </w:p>
    <w:p w14:paraId="22BF59D5" w14:textId="6A0E2908" w:rsidR="00210789" w:rsidRDefault="00210789" w:rsidP="0085633E">
      <w:pPr>
        <w:pStyle w:val="ListParagraph"/>
        <w:spacing w:line="480" w:lineRule="auto"/>
        <w:ind w:left="0"/>
        <w:jc w:val="center"/>
        <w:rPr>
          <w:rFonts w:eastAsiaTheme="minorEastAsia"/>
          <w:sz w:val="24"/>
          <w:szCs w:val="24"/>
        </w:rPr>
      </w:pPr>
      <m:oMath>
        <m:r>
          <w:rPr>
            <w:rFonts w:ascii="Cambria Math" w:eastAsiaTheme="minorEastAsia" w:hAnsi="Cambria Math"/>
            <w:sz w:val="24"/>
            <w:szCs w:val="24"/>
          </w:rPr>
          <m:t xml:space="preserve">closeness=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N(N-1)</m:t>
            </m:r>
          </m:den>
        </m:f>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A=1</m:t>
            </m:r>
          </m:sub>
          <m:sup>
            <m:r>
              <w:rPr>
                <w:rFonts w:ascii="Cambria Math" w:eastAsiaTheme="minorEastAsia" w:hAnsi="Cambria Math"/>
                <w:sz w:val="24"/>
                <w:szCs w:val="24"/>
              </w:rPr>
              <m:t>N</m:t>
            </m:r>
          </m:sup>
          <m:e>
            <m:nary>
              <m:naryPr>
                <m:chr m:val="∑"/>
                <m:limLoc m:val="undOvr"/>
                <m:supHide m:val="1"/>
                <m:ctrlPr>
                  <w:rPr>
                    <w:rFonts w:ascii="Cambria Math" w:eastAsiaTheme="minorEastAsia" w:hAnsi="Cambria Math"/>
                    <w:i/>
                    <w:sz w:val="24"/>
                    <w:szCs w:val="24"/>
                  </w:rPr>
                </m:ctrlPr>
              </m:naryPr>
              <m:sub>
                <m:r>
                  <w:rPr>
                    <w:rFonts w:ascii="Cambria Math" w:eastAsiaTheme="minorEastAsia" w:hAnsi="Cambria Math"/>
                    <w:sz w:val="24"/>
                    <w:szCs w:val="24"/>
                  </w:rPr>
                  <m:t>B≠A</m:t>
                </m:r>
              </m:sub>
              <m:sup/>
              <m:e>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AB</m:t>
                    </m:r>
                  </m:sub>
                </m:sSub>
              </m:e>
            </m:nary>
          </m:e>
        </m:nary>
      </m:oMath>
      <w:r w:rsidR="00297D79">
        <w:rPr>
          <w:rFonts w:eastAsiaTheme="minorEastAsia"/>
          <w:sz w:val="24"/>
          <w:szCs w:val="24"/>
        </w:rPr>
        <w:t>.</w:t>
      </w:r>
      <w:r w:rsidR="00BF5A7A">
        <w:rPr>
          <w:rFonts w:eastAsiaTheme="minorEastAsia"/>
          <w:sz w:val="24"/>
          <w:szCs w:val="24"/>
        </w:rPr>
        <w:tab/>
        <w:t>(11)</w:t>
      </w:r>
    </w:p>
    <w:p w14:paraId="7850A24D" w14:textId="57A1EB56" w:rsidR="00297D79" w:rsidRPr="0085633E" w:rsidRDefault="00557296" w:rsidP="004949F3">
      <w:pPr>
        <w:pStyle w:val="ListParagraph"/>
        <w:spacing w:line="480" w:lineRule="auto"/>
        <w:ind w:left="0"/>
        <w:jc w:val="both"/>
        <w:rPr>
          <w:rFonts w:eastAsiaTheme="minorEastAsia"/>
          <w:sz w:val="24"/>
          <w:szCs w:val="24"/>
        </w:rPr>
      </w:pPr>
      <w:r>
        <w:rPr>
          <w:sz w:val="24"/>
          <w:szCs w:val="24"/>
        </w:rPr>
        <w:t>C</w:t>
      </w:r>
      <w:r w:rsidR="00297D79">
        <w:rPr>
          <w:sz w:val="24"/>
          <w:szCs w:val="24"/>
        </w:rPr>
        <w:t>loseness is normalized to be between 0 and 1, where larger values indicate larger relative distance between banks on the network</w:t>
      </w:r>
      <w:r w:rsidR="00382070">
        <w:rPr>
          <w:sz w:val="24"/>
          <w:szCs w:val="24"/>
        </w:rPr>
        <w:t xml:space="preserve">. </w:t>
      </w:r>
    </w:p>
    <w:p w14:paraId="06804712" w14:textId="6A974AE0" w:rsidR="005377F4" w:rsidRDefault="006E314B" w:rsidP="00D517C3">
      <w:pPr>
        <w:pStyle w:val="ListParagraph"/>
        <w:spacing w:line="480" w:lineRule="auto"/>
        <w:ind w:left="0" w:firstLine="720"/>
        <w:jc w:val="both"/>
        <w:rPr>
          <w:sz w:val="24"/>
          <w:szCs w:val="24"/>
        </w:rPr>
      </w:pPr>
      <w:r>
        <w:rPr>
          <w:sz w:val="24"/>
          <w:szCs w:val="24"/>
        </w:rPr>
        <w:lastRenderedPageBreak/>
        <w:t xml:space="preserve">As shown in Table 3, the variation </w:t>
      </w:r>
      <w:r w:rsidR="00CD740E">
        <w:rPr>
          <w:sz w:val="24"/>
          <w:szCs w:val="24"/>
        </w:rPr>
        <w:t xml:space="preserve">of monthly </w:t>
      </w:r>
      <w:r w:rsidR="00036665">
        <w:rPr>
          <w:sz w:val="24"/>
          <w:szCs w:val="24"/>
        </w:rPr>
        <w:t xml:space="preserve">network statistics </w:t>
      </w:r>
      <w:r>
        <w:rPr>
          <w:sz w:val="24"/>
          <w:szCs w:val="24"/>
        </w:rPr>
        <w:t xml:space="preserve">in the </w:t>
      </w:r>
      <w:r w:rsidR="008327C3">
        <w:rPr>
          <w:sz w:val="24"/>
          <w:szCs w:val="24"/>
        </w:rPr>
        <w:t xml:space="preserve">correlation </w:t>
      </w:r>
      <w:r>
        <w:rPr>
          <w:sz w:val="24"/>
          <w:szCs w:val="24"/>
        </w:rPr>
        <w:t xml:space="preserve">network is larger than </w:t>
      </w:r>
      <w:r w:rsidR="00540C01">
        <w:rPr>
          <w:sz w:val="24"/>
          <w:szCs w:val="24"/>
        </w:rPr>
        <w:t xml:space="preserve">that </w:t>
      </w:r>
      <w:r>
        <w:rPr>
          <w:sz w:val="24"/>
          <w:szCs w:val="24"/>
        </w:rPr>
        <w:t xml:space="preserve">in the </w:t>
      </w:r>
      <w:r w:rsidR="00036665">
        <w:rPr>
          <w:sz w:val="24"/>
          <w:szCs w:val="24"/>
        </w:rPr>
        <w:t xml:space="preserve">physical </w:t>
      </w:r>
      <w:r>
        <w:rPr>
          <w:sz w:val="24"/>
          <w:szCs w:val="24"/>
        </w:rPr>
        <w:t>network</w:t>
      </w:r>
      <w:r w:rsidR="00437FC9">
        <w:rPr>
          <w:sz w:val="24"/>
          <w:szCs w:val="24"/>
        </w:rPr>
        <w:t>.</w:t>
      </w:r>
      <w:r w:rsidR="00D54573">
        <w:rPr>
          <w:rStyle w:val="FootnoteReference"/>
          <w:sz w:val="24"/>
          <w:szCs w:val="24"/>
        </w:rPr>
        <w:footnoteReference w:id="18"/>
      </w:r>
      <w:r>
        <w:rPr>
          <w:sz w:val="24"/>
          <w:szCs w:val="24"/>
        </w:rPr>
        <w:t xml:space="preserve"> Within </w:t>
      </w:r>
      <w:r w:rsidR="00731C16">
        <w:rPr>
          <w:sz w:val="24"/>
          <w:szCs w:val="24"/>
        </w:rPr>
        <w:t xml:space="preserve">correlation </w:t>
      </w:r>
      <w:r>
        <w:rPr>
          <w:sz w:val="24"/>
          <w:szCs w:val="24"/>
        </w:rPr>
        <w:t>networks, the change in degree</w:t>
      </w:r>
      <w:r w:rsidR="00DF0875">
        <w:rPr>
          <w:sz w:val="24"/>
          <w:szCs w:val="24"/>
        </w:rPr>
        <w:t xml:space="preserve"> and clustering coefficient</w:t>
      </w:r>
      <w:r>
        <w:rPr>
          <w:sz w:val="24"/>
          <w:szCs w:val="24"/>
        </w:rPr>
        <w:t xml:space="preserve"> </w:t>
      </w:r>
      <w:r w:rsidR="00557296">
        <w:rPr>
          <w:sz w:val="24"/>
          <w:szCs w:val="24"/>
        </w:rPr>
        <w:t xml:space="preserve">from </w:t>
      </w:r>
      <w:r>
        <w:rPr>
          <w:sz w:val="24"/>
          <w:szCs w:val="24"/>
        </w:rPr>
        <w:t xml:space="preserve">pre-crisis </w:t>
      </w:r>
      <w:r w:rsidR="00557296">
        <w:rPr>
          <w:sz w:val="24"/>
          <w:szCs w:val="24"/>
        </w:rPr>
        <w:t xml:space="preserve">to the first crisis period is </w:t>
      </w:r>
      <w:r>
        <w:rPr>
          <w:sz w:val="24"/>
          <w:szCs w:val="24"/>
        </w:rPr>
        <w:t xml:space="preserve">statistically significant, </w:t>
      </w:r>
      <w:r w:rsidR="00DF0875">
        <w:rPr>
          <w:sz w:val="24"/>
          <w:szCs w:val="24"/>
        </w:rPr>
        <w:t xml:space="preserve">whereas LSCC and closeness </w:t>
      </w:r>
      <w:r w:rsidR="00557296">
        <w:rPr>
          <w:sz w:val="24"/>
          <w:szCs w:val="24"/>
        </w:rPr>
        <w:t xml:space="preserve">change significantly only </w:t>
      </w:r>
      <w:r w:rsidR="00DF0875">
        <w:rPr>
          <w:sz w:val="24"/>
          <w:szCs w:val="24"/>
        </w:rPr>
        <w:t xml:space="preserve">in the second crisis period. </w:t>
      </w:r>
      <w:r w:rsidR="00557296">
        <w:rPr>
          <w:sz w:val="24"/>
          <w:szCs w:val="24"/>
        </w:rPr>
        <w:t xml:space="preserve">Following these changes, connectedness (as captured by these metrics) </w:t>
      </w:r>
      <w:r w:rsidR="00DF0875">
        <w:rPr>
          <w:sz w:val="24"/>
          <w:szCs w:val="24"/>
        </w:rPr>
        <w:t>remain</w:t>
      </w:r>
      <w:r w:rsidR="00557296">
        <w:rPr>
          <w:sz w:val="24"/>
          <w:szCs w:val="24"/>
        </w:rPr>
        <w:t>s</w:t>
      </w:r>
      <w:r w:rsidR="00DF0875">
        <w:rPr>
          <w:sz w:val="24"/>
          <w:szCs w:val="24"/>
        </w:rPr>
        <w:t xml:space="preserve"> elevated </w:t>
      </w:r>
      <w:r w:rsidR="00557296">
        <w:rPr>
          <w:sz w:val="24"/>
          <w:szCs w:val="24"/>
        </w:rPr>
        <w:t xml:space="preserve">through </w:t>
      </w:r>
      <w:r w:rsidR="00DF0875">
        <w:rPr>
          <w:sz w:val="24"/>
          <w:szCs w:val="24"/>
        </w:rPr>
        <w:t xml:space="preserve">the </w:t>
      </w:r>
      <w:r w:rsidR="002C383F">
        <w:rPr>
          <w:sz w:val="24"/>
          <w:szCs w:val="24"/>
        </w:rPr>
        <w:t xml:space="preserve">last </w:t>
      </w:r>
      <w:r w:rsidR="008C6AED">
        <w:rPr>
          <w:sz w:val="24"/>
          <w:szCs w:val="24"/>
        </w:rPr>
        <w:t>sub-</w:t>
      </w:r>
      <w:r w:rsidR="00DF0875">
        <w:rPr>
          <w:sz w:val="24"/>
          <w:szCs w:val="24"/>
        </w:rPr>
        <w:t>period</w:t>
      </w:r>
      <w:r w:rsidR="00557296">
        <w:rPr>
          <w:sz w:val="24"/>
          <w:szCs w:val="24"/>
        </w:rPr>
        <w:t>.</w:t>
      </w:r>
    </w:p>
    <w:p w14:paraId="02C8BA7F" w14:textId="5D954143" w:rsidR="001E031E" w:rsidRDefault="005377F4" w:rsidP="00D517C3">
      <w:pPr>
        <w:pStyle w:val="ListParagraph"/>
        <w:spacing w:line="480" w:lineRule="auto"/>
        <w:ind w:left="0" w:firstLine="720"/>
        <w:jc w:val="both"/>
        <w:rPr>
          <w:sz w:val="24"/>
          <w:szCs w:val="24"/>
        </w:rPr>
      </w:pPr>
      <w:r>
        <w:rPr>
          <w:sz w:val="24"/>
          <w:szCs w:val="24"/>
        </w:rPr>
        <w:t>Through the lens of the physical market, however, connectedness appears to have been significantly diminished. C</w:t>
      </w:r>
      <w:r w:rsidR="006E314B">
        <w:rPr>
          <w:sz w:val="24"/>
          <w:szCs w:val="24"/>
        </w:rPr>
        <w:t xml:space="preserve">onnectivity </w:t>
      </w:r>
      <w:r w:rsidR="00DF0875">
        <w:rPr>
          <w:sz w:val="24"/>
          <w:szCs w:val="24"/>
        </w:rPr>
        <w:t xml:space="preserve">in the physical network </w:t>
      </w:r>
      <w:r w:rsidR="006E314B">
        <w:rPr>
          <w:sz w:val="24"/>
          <w:szCs w:val="24"/>
        </w:rPr>
        <w:t xml:space="preserve">drops significantly at the outset of the crisis and remains below pre-crisis levels </w:t>
      </w:r>
      <w:r w:rsidR="00557296">
        <w:rPr>
          <w:sz w:val="24"/>
          <w:szCs w:val="24"/>
        </w:rPr>
        <w:t xml:space="preserve">through the post-crisis </w:t>
      </w:r>
      <w:r w:rsidR="006E314B">
        <w:rPr>
          <w:sz w:val="24"/>
          <w:szCs w:val="24"/>
        </w:rPr>
        <w:t>period.</w:t>
      </w:r>
      <w:r w:rsidR="00E349F9">
        <w:rPr>
          <w:sz w:val="24"/>
          <w:szCs w:val="24"/>
        </w:rPr>
        <w:t xml:space="preserve"> In contrast to the other metrics of interconnectivity, closeness increases in the physical network. By construction, larger values of closeness indicate decreased connectivity</w:t>
      </w:r>
      <w:r w:rsidR="001E031E">
        <w:rPr>
          <w:sz w:val="24"/>
          <w:szCs w:val="24"/>
        </w:rPr>
        <w:t xml:space="preserve">, marking </w:t>
      </w:r>
      <w:r w:rsidR="00E349F9">
        <w:rPr>
          <w:sz w:val="24"/>
          <w:szCs w:val="24"/>
        </w:rPr>
        <w:t>an increasingly fragmented physical network.</w:t>
      </w:r>
      <w:r w:rsidR="006E314B">
        <w:rPr>
          <w:sz w:val="24"/>
          <w:szCs w:val="24"/>
        </w:rPr>
        <w:t xml:space="preserve"> </w:t>
      </w:r>
    </w:p>
    <w:p w14:paraId="28A885EB" w14:textId="577D34E0" w:rsidR="00C67A0B" w:rsidRDefault="00E349F9" w:rsidP="00D517C3">
      <w:pPr>
        <w:pStyle w:val="ListParagraph"/>
        <w:spacing w:line="480" w:lineRule="auto"/>
        <w:ind w:left="0" w:firstLine="720"/>
        <w:jc w:val="both"/>
        <w:rPr>
          <w:sz w:val="24"/>
          <w:szCs w:val="24"/>
        </w:rPr>
      </w:pPr>
      <w:r>
        <w:rPr>
          <w:sz w:val="24"/>
          <w:szCs w:val="24"/>
        </w:rPr>
        <w:t xml:space="preserve">These disparate results show that the correlation and physical networks capture different notions of connectedness. </w:t>
      </w:r>
      <w:r w:rsidR="004C736C">
        <w:rPr>
          <w:sz w:val="24"/>
          <w:szCs w:val="24"/>
        </w:rPr>
        <w:t>T</w:t>
      </w:r>
      <w:r w:rsidR="006E314B">
        <w:rPr>
          <w:sz w:val="24"/>
          <w:szCs w:val="24"/>
        </w:rPr>
        <w:t xml:space="preserve">he crisis permanently diminished </w:t>
      </w:r>
      <w:r w:rsidR="00437FC9">
        <w:rPr>
          <w:sz w:val="24"/>
          <w:szCs w:val="24"/>
        </w:rPr>
        <w:t>interconnectedness</w:t>
      </w:r>
      <w:r w:rsidR="006E314B">
        <w:rPr>
          <w:sz w:val="24"/>
          <w:szCs w:val="24"/>
        </w:rPr>
        <w:t xml:space="preserve"> between banks</w:t>
      </w:r>
      <w:r w:rsidR="00A72E75">
        <w:rPr>
          <w:sz w:val="24"/>
          <w:szCs w:val="24"/>
        </w:rPr>
        <w:t xml:space="preserve"> in the physical </w:t>
      </w:r>
      <w:r>
        <w:rPr>
          <w:sz w:val="24"/>
          <w:szCs w:val="24"/>
        </w:rPr>
        <w:t xml:space="preserve">interbank trading </w:t>
      </w:r>
      <w:r w:rsidR="00A72E75">
        <w:rPr>
          <w:sz w:val="24"/>
          <w:szCs w:val="24"/>
        </w:rPr>
        <w:t>network</w:t>
      </w:r>
      <w:r w:rsidR="006E314B">
        <w:rPr>
          <w:sz w:val="24"/>
          <w:szCs w:val="24"/>
        </w:rPr>
        <w:t xml:space="preserve">, </w:t>
      </w:r>
      <w:r>
        <w:rPr>
          <w:sz w:val="24"/>
          <w:szCs w:val="24"/>
        </w:rPr>
        <w:t xml:space="preserve">while interconnectedness increases </w:t>
      </w:r>
      <w:r w:rsidR="001E031E">
        <w:rPr>
          <w:sz w:val="24"/>
          <w:szCs w:val="24"/>
        </w:rPr>
        <w:t>when</w:t>
      </w:r>
      <w:r>
        <w:rPr>
          <w:sz w:val="24"/>
          <w:szCs w:val="24"/>
        </w:rPr>
        <w:t xml:space="preserve"> measured via indirect stock return correlation networks.</w:t>
      </w:r>
      <w:r w:rsidR="001E031E">
        <w:rPr>
          <w:sz w:val="24"/>
          <w:szCs w:val="24"/>
        </w:rPr>
        <w:t xml:space="preserve"> While </w:t>
      </w:r>
      <w:r>
        <w:rPr>
          <w:sz w:val="24"/>
          <w:szCs w:val="24"/>
        </w:rPr>
        <w:t xml:space="preserve">the physical connections between banks in the interbank market </w:t>
      </w:r>
      <w:r w:rsidR="001E031E">
        <w:rPr>
          <w:sz w:val="24"/>
          <w:szCs w:val="24"/>
        </w:rPr>
        <w:t>are</w:t>
      </w:r>
      <w:r>
        <w:rPr>
          <w:sz w:val="24"/>
          <w:szCs w:val="24"/>
        </w:rPr>
        <w:t xml:space="preserve"> diminished</w:t>
      </w:r>
      <w:r w:rsidR="001E031E">
        <w:rPr>
          <w:sz w:val="24"/>
          <w:szCs w:val="24"/>
        </w:rPr>
        <w:t>,</w:t>
      </w:r>
      <w:r>
        <w:rPr>
          <w:sz w:val="24"/>
          <w:szCs w:val="24"/>
        </w:rPr>
        <w:t xml:space="preserve"> the</w:t>
      </w:r>
      <w:r w:rsidR="001E031E">
        <w:rPr>
          <w:sz w:val="24"/>
          <w:szCs w:val="24"/>
        </w:rPr>
        <w:t>se same banks</w:t>
      </w:r>
      <w:r>
        <w:rPr>
          <w:sz w:val="24"/>
          <w:szCs w:val="24"/>
        </w:rPr>
        <w:t xml:space="preserve"> are indirectly connected to a common factor that</w:t>
      </w:r>
      <w:r w:rsidR="001E031E">
        <w:rPr>
          <w:sz w:val="24"/>
          <w:szCs w:val="24"/>
        </w:rPr>
        <w:t xml:space="preserve"> does not affect interbank trad</w:t>
      </w:r>
      <w:r>
        <w:rPr>
          <w:sz w:val="24"/>
          <w:szCs w:val="24"/>
        </w:rPr>
        <w:t>ing.</w:t>
      </w:r>
      <w:r w:rsidR="009106D1">
        <w:rPr>
          <w:sz w:val="24"/>
          <w:szCs w:val="24"/>
        </w:rPr>
        <w:t xml:space="preserve"> </w:t>
      </w:r>
      <w:r w:rsidR="00851398">
        <w:rPr>
          <w:sz w:val="24"/>
          <w:szCs w:val="24"/>
        </w:rPr>
        <w:t xml:space="preserve">Indeed, Cont and Wagalath (2011, 2012) that use a structural equation model to link the behavior of large institutional investors to equity correlations, the basis of our correlation networks. </w:t>
      </w:r>
    </w:p>
    <w:p w14:paraId="0267E68D" w14:textId="0FAE0434" w:rsidR="00C456CC" w:rsidRDefault="009D0B86" w:rsidP="00E37FF7">
      <w:pPr>
        <w:pStyle w:val="ListParagraph"/>
        <w:spacing w:line="480" w:lineRule="auto"/>
        <w:ind w:left="0" w:firstLine="720"/>
        <w:jc w:val="both"/>
        <w:rPr>
          <w:sz w:val="24"/>
          <w:szCs w:val="24"/>
        </w:rPr>
      </w:pPr>
      <w:r>
        <w:rPr>
          <w:sz w:val="24"/>
          <w:szCs w:val="24"/>
        </w:rPr>
        <w:lastRenderedPageBreak/>
        <w:t xml:space="preserve">Figure 2 displays </w:t>
      </w:r>
      <w:r w:rsidR="002C383F">
        <w:rPr>
          <w:sz w:val="24"/>
          <w:szCs w:val="24"/>
        </w:rPr>
        <w:t xml:space="preserve">the </w:t>
      </w:r>
      <w:r w:rsidR="00886D3A">
        <w:rPr>
          <w:sz w:val="24"/>
          <w:szCs w:val="24"/>
        </w:rPr>
        <w:t>monthly</w:t>
      </w:r>
      <w:r>
        <w:rPr>
          <w:sz w:val="24"/>
          <w:szCs w:val="24"/>
        </w:rPr>
        <w:t xml:space="preserve"> time series of the network measures from the two types of networks and clearly shows that connectivity increases in the correlation network at the onset of the crisis 1 sub-period and keeps rising in the subsequent sub-periods</w:t>
      </w:r>
      <w:r w:rsidR="00851398">
        <w:rPr>
          <w:sz w:val="24"/>
          <w:szCs w:val="24"/>
        </w:rPr>
        <w:t xml:space="preserve">. </w:t>
      </w:r>
      <w:r w:rsidR="00873394">
        <w:rPr>
          <w:sz w:val="24"/>
          <w:szCs w:val="24"/>
        </w:rPr>
        <w:t>Overall we find that interconnectedness increase</w:t>
      </w:r>
      <w:r w:rsidR="00851398">
        <w:rPr>
          <w:sz w:val="24"/>
          <w:szCs w:val="24"/>
        </w:rPr>
        <w:t>s</w:t>
      </w:r>
      <w:r w:rsidR="00873394">
        <w:rPr>
          <w:sz w:val="24"/>
          <w:szCs w:val="24"/>
        </w:rPr>
        <w:t xml:space="preserve"> after </w:t>
      </w:r>
      <w:r w:rsidR="00851398">
        <w:rPr>
          <w:sz w:val="24"/>
          <w:szCs w:val="24"/>
        </w:rPr>
        <w:t xml:space="preserve">the failure of </w:t>
      </w:r>
      <w:r w:rsidR="00873394">
        <w:rPr>
          <w:sz w:val="24"/>
          <w:szCs w:val="24"/>
        </w:rPr>
        <w:t xml:space="preserve">Lehman </w:t>
      </w:r>
      <w:r w:rsidR="00851398">
        <w:rPr>
          <w:sz w:val="24"/>
          <w:szCs w:val="24"/>
        </w:rPr>
        <w:t xml:space="preserve">Brothers </w:t>
      </w:r>
      <w:r w:rsidR="00873394">
        <w:rPr>
          <w:sz w:val="24"/>
          <w:szCs w:val="24"/>
        </w:rPr>
        <w:t>in the correlation network</w:t>
      </w:r>
      <w:r w:rsidR="00314F69">
        <w:rPr>
          <w:sz w:val="24"/>
          <w:szCs w:val="24"/>
        </w:rPr>
        <w:t xml:space="preserve">, </w:t>
      </w:r>
      <w:r w:rsidR="00851398">
        <w:rPr>
          <w:sz w:val="24"/>
          <w:szCs w:val="24"/>
        </w:rPr>
        <w:t xml:space="preserve">but </w:t>
      </w:r>
      <w:r w:rsidR="00873394">
        <w:rPr>
          <w:sz w:val="24"/>
          <w:szCs w:val="24"/>
        </w:rPr>
        <w:t>decrease</w:t>
      </w:r>
      <w:r w:rsidR="00851398">
        <w:rPr>
          <w:sz w:val="24"/>
          <w:szCs w:val="24"/>
        </w:rPr>
        <w:t>s</w:t>
      </w:r>
      <w:r w:rsidR="00873394">
        <w:rPr>
          <w:sz w:val="24"/>
          <w:szCs w:val="24"/>
        </w:rPr>
        <w:t xml:space="preserve"> in the </w:t>
      </w:r>
      <w:r w:rsidR="004D5C9A">
        <w:rPr>
          <w:sz w:val="24"/>
          <w:szCs w:val="24"/>
        </w:rPr>
        <w:t xml:space="preserve">physical </w:t>
      </w:r>
      <w:r w:rsidR="0017702E">
        <w:rPr>
          <w:sz w:val="24"/>
          <w:szCs w:val="24"/>
        </w:rPr>
        <w:t>network</w:t>
      </w:r>
      <w:r w:rsidR="00873394">
        <w:rPr>
          <w:sz w:val="24"/>
          <w:szCs w:val="24"/>
        </w:rPr>
        <w:t xml:space="preserve">. </w:t>
      </w:r>
      <w:r w:rsidR="00910FF0" w:rsidRPr="00910FF0">
        <w:rPr>
          <w:sz w:val="24"/>
          <w:szCs w:val="24"/>
        </w:rPr>
        <w:t>Lagunoff and Schreft (1998)</w:t>
      </w:r>
      <w:r w:rsidR="00873394">
        <w:rPr>
          <w:sz w:val="24"/>
          <w:szCs w:val="24"/>
        </w:rPr>
        <w:t xml:space="preserve"> claim that</w:t>
      </w:r>
      <w:r w:rsidR="00910FF0" w:rsidRPr="00910FF0">
        <w:rPr>
          <w:sz w:val="24"/>
          <w:szCs w:val="24"/>
        </w:rPr>
        <w:t>: “A financial crisis is a breakdown of the economy’s financial linkages, a collapse of all or part of the financial structure.” (</w:t>
      </w:r>
      <w:r w:rsidR="00910FF0">
        <w:rPr>
          <w:sz w:val="24"/>
          <w:szCs w:val="24"/>
        </w:rPr>
        <w:t>p</w:t>
      </w:r>
      <w:r w:rsidR="00910FF0" w:rsidRPr="00910FF0">
        <w:rPr>
          <w:sz w:val="24"/>
          <w:szCs w:val="24"/>
        </w:rPr>
        <w:t xml:space="preserve"> 2</w:t>
      </w:r>
      <w:r w:rsidR="00910FF0">
        <w:rPr>
          <w:sz w:val="24"/>
          <w:szCs w:val="24"/>
        </w:rPr>
        <w:t xml:space="preserve">). The </w:t>
      </w:r>
      <w:r w:rsidR="004D5C9A">
        <w:rPr>
          <w:sz w:val="24"/>
          <w:szCs w:val="24"/>
        </w:rPr>
        <w:t xml:space="preserve">physical </w:t>
      </w:r>
      <w:r w:rsidR="0017702E">
        <w:rPr>
          <w:sz w:val="24"/>
          <w:szCs w:val="24"/>
        </w:rPr>
        <w:t>network</w:t>
      </w:r>
      <w:r w:rsidR="00910FF0">
        <w:rPr>
          <w:sz w:val="24"/>
          <w:szCs w:val="24"/>
        </w:rPr>
        <w:t xml:space="preserve"> clearly captur</w:t>
      </w:r>
      <w:r w:rsidR="00851398">
        <w:rPr>
          <w:sz w:val="24"/>
          <w:szCs w:val="24"/>
        </w:rPr>
        <w:t>es</w:t>
      </w:r>
      <w:r w:rsidR="00910FF0">
        <w:rPr>
          <w:sz w:val="24"/>
          <w:szCs w:val="24"/>
        </w:rPr>
        <w:t xml:space="preserve"> this phenomenon. </w:t>
      </w:r>
    </w:p>
    <w:p w14:paraId="39B8BD58" w14:textId="5CD5A9D6" w:rsidR="00D308F5" w:rsidRDefault="00B40886" w:rsidP="002C383F">
      <w:pPr>
        <w:spacing w:line="480" w:lineRule="auto"/>
        <w:ind w:firstLine="720"/>
        <w:jc w:val="both"/>
        <w:rPr>
          <w:sz w:val="24"/>
          <w:szCs w:val="24"/>
        </w:rPr>
      </w:pPr>
      <w:r>
        <w:rPr>
          <w:sz w:val="24"/>
          <w:szCs w:val="24"/>
        </w:rPr>
        <w:t>The two network</w:t>
      </w:r>
      <w:r w:rsidR="00D308F5">
        <w:rPr>
          <w:sz w:val="24"/>
          <w:szCs w:val="24"/>
        </w:rPr>
        <w:t>s</w:t>
      </w:r>
      <w:r>
        <w:rPr>
          <w:sz w:val="24"/>
          <w:szCs w:val="24"/>
        </w:rPr>
        <w:t xml:space="preserve"> </w:t>
      </w:r>
      <w:r w:rsidR="002C383F">
        <w:rPr>
          <w:sz w:val="24"/>
          <w:szCs w:val="24"/>
        </w:rPr>
        <w:t xml:space="preserve">also </w:t>
      </w:r>
      <w:r>
        <w:rPr>
          <w:sz w:val="24"/>
          <w:szCs w:val="24"/>
        </w:rPr>
        <w:t xml:space="preserve">behave differently also </w:t>
      </w:r>
      <w:r w:rsidR="00363D63">
        <w:rPr>
          <w:sz w:val="24"/>
          <w:szCs w:val="24"/>
        </w:rPr>
        <w:t>in o</w:t>
      </w:r>
      <w:r>
        <w:rPr>
          <w:sz w:val="24"/>
          <w:szCs w:val="24"/>
        </w:rPr>
        <w:t xml:space="preserve">ther respects. </w:t>
      </w:r>
      <w:r w:rsidR="00363D63">
        <w:rPr>
          <w:sz w:val="24"/>
          <w:szCs w:val="24"/>
        </w:rPr>
        <w:t xml:space="preserve">As </w:t>
      </w:r>
      <w:r w:rsidR="002C383F">
        <w:rPr>
          <w:sz w:val="24"/>
          <w:szCs w:val="24"/>
        </w:rPr>
        <w:t>F</w:t>
      </w:r>
      <w:r w:rsidR="00363D63">
        <w:rPr>
          <w:sz w:val="24"/>
          <w:szCs w:val="24"/>
        </w:rPr>
        <w:t xml:space="preserve">igure 3 shows, </w:t>
      </w:r>
      <w:r w:rsidR="00851398">
        <w:rPr>
          <w:sz w:val="24"/>
          <w:szCs w:val="24"/>
        </w:rPr>
        <w:t xml:space="preserve">correlation </w:t>
      </w:r>
      <w:r w:rsidR="00363D63">
        <w:rPr>
          <w:sz w:val="24"/>
          <w:szCs w:val="24"/>
        </w:rPr>
        <w:t xml:space="preserve">networks are </w:t>
      </w:r>
      <w:r w:rsidR="00851398">
        <w:rPr>
          <w:sz w:val="24"/>
          <w:szCs w:val="24"/>
        </w:rPr>
        <w:t xml:space="preserve">sparser </w:t>
      </w:r>
      <w:r w:rsidR="00363D63">
        <w:rPr>
          <w:sz w:val="24"/>
          <w:szCs w:val="24"/>
        </w:rPr>
        <w:t>than the physical network</w:t>
      </w:r>
      <w:r w:rsidR="00851398">
        <w:rPr>
          <w:sz w:val="24"/>
          <w:szCs w:val="24"/>
        </w:rPr>
        <w:t>s</w:t>
      </w:r>
      <w:r w:rsidR="00363D63">
        <w:rPr>
          <w:sz w:val="24"/>
          <w:szCs w:val="24"/>
        </w:rPr>
        <w:t xml:space="preserve"> in the pre-crisis period</w:t>
      </w:r>
      <w:r w:rsidR="00851398">
        <w:rPr>
          <w:sz w:val="24"/>
          <w:szCs w:val="24"/>
        </w:rPr>
        <w:t xml:space="preserve">, perhaps </w:t>
      </w:r>
      <w:r w:rsidR="00363D63">
        <w:rPr>
          <w:sz w:val="24"/>
          <w:szCs w:val="24"/>
        </w:rPr>
        <w:t xml:space="preserve">expected </w:t>
      </w:r>
      <w:r w:rsidR="00B427B3">
        <w:rPr>
          <w:sz w:val="24"/>
          <w:szCs w:val="24"/>
        </w:rPr>
        <w:t xml:space="preserve">with only 29 banks in </w:t>
      </w:r>
      <w:r w:rsidR="00363D63">
        <w:rPr>
          <w:sz w:val="24"/>
          <w:szCs w:val="24"/>
        </w:rPr>
        <w:t xml:space="preserve">the correlation network. </w:t>
      </w:r>
      <w:r w:rsidR="00B427B3">
        <w:rPr>
          <w:sz w:val="24"/>
          <w:szCs w:val="24"/>
        </w:rPr>
        <w:t xml:space="preserve">Despite the lower number of banks, </w:t>
      </w:r>
      <w:r w:rsidR="00363D63">
        <w:rPr>
          <w:sz w:val="24"/>
          <w:szCs w:val="24"/>
        </w:rPr>
        <w:t xml:space="preserve">however, the correlation network becomes more interconnected </w:t>
      </w:r>
      <w:r w:rsidR="00B427B3">
        <w:rPr>
          <w:sz w:val="24"/>
          <w:szCs w:val="24"/>
        </w:rPr>
        <w:t>throughout our sample period. Conversely, t</w:t>
      </w:r>
      <w:r w:rsidR="00363D63">
        <w:rPr>
          <w:sz w:val="24"/>
          <w:szCs w:val="24"/>
        </w:rPr>
        <w:t xml:space="preserve">he </w:t>
      </w:r>
      <w:r w:rsidR="00D308F5">
        <w:rPr>
          <w:sz w:val="24"/>
          <w:szCs w:val="24"/>
        </w:rPr>
        <w:t xml:space="preserve">physical network in the post-crisis period is characterized by a “core” of </w:t>
      </w:r>
      <w:r w:rsidR="008D176C">
        <w:rPr>
          <w:sz w:val="24"/>
          <w:szCs w:val="24"/>
        </w:rPr>
        <w:t>bank</w:t>
      </w:r>
      <w:r w:rsidR="00D308F5">
        <w:rPr>
          <w:sz w:val="24"/>
          <w:szCs w:val="24"/>
        </w:rPr>
        <w:t xml:space="preserve">s highly interconnected and several </w:t>
      </w:r>
      <w:r w:rsidR="008D176C">
        <w:rPr>
          <w:sz w:val="24"/>
          <w:szCs w:val="24"/>
        </w:rPr>
        <w:t>banks</w:t>
      </w:r>
      <w:r w:rsidR="00D308F5">
        <w:rPr>
          <w:sz w:val="24"/>
          <w:szCs w:val="24"/>
        </w:rPr>
        <w:t xml:space="preserve"> which have a low degree of interconnectedness. </w:t>
      </w:r>
    </w:p>
    <w:p w14:paraId="5A78B71B" w14:textId="69C9F5B0" w:rsidR="00D308F5" w:rsidRDefault="00B427B3" w:rsidP="002C383F">
      <w:pPr>
        <w:spacing w:line="480" w:lineRule="auto"/>
        <w:ind w:firstLine="720"/>
        <w:jc w:val="both"/>
        <w:rPr>
          <w:sz w:val="24"/>
          <w:szCs w:val="24"/>
        </w:rPr>
      </w:pPr>
      <w:r>
        <w:rPr>
          <w:sz w:val="24"/>
          <w:szCs w:val="24"/>
        </w:rPr>
        <w:t>T</w:t>
      </w:r>
      <w:r w:rsidR="00D308F5">
        <w:rPr>
          <w:sz w:val="24"/>
          <w:szCs w:val="24"/>
        </w:rPr>
        <w:t>o further study the evolution of the two network structures</w:t>
      </w:r>
      <w:r>
        <w:rPr>
          <w:sz w:val="24"/>
          <w:szCs w:val="24"/>
        </w:rPr>
        <w:t xml:space="preserve"> during the crisis</w:t>
      </w:r>
      <w:r w:rsidR="00D308F5">
        <w:rPr>
          <w:sz w:val="24"/>
          <w:szCs w:val="24"/>
        </w:rPr>
        <w:t>, w</w:t>
      </w:r>
      <w:r>
        <w:rPr>
          <w:sz w:val="24"/>
          <w:szCs w:val="24"/>
        </w:rPr>
        <w:t xml:space="preserve">e </w:t>
      </w:r>
      <w:r w:rsidR="00D308F5" w:rsidRPr="00D308F5">
        <w:rPr>
          <w:sz w:val="24"/>
          <w:szCs w:val="24"/>
        </w:rPr>
        <w:t xml:space="preserve">identify individual banks that contribute most to market connectivity using the matrix factorization-based technique </w:t>
      </w:r>
      <w:r w:rsidR="00D308F5">
        <w:rPr>
          <w:sz w:val="24"/>
          <w:szCs w:val="24"/>
        </w:rPr>
        <w:t xml:space="preserve">developed in </w:t>
      </w:r>
      <w:r w:rsidR="00D308F5" w:rsidRPr="00D308F5">
        <w:rPr>
          <w:sz w:val="24"/>
          <w:szCs w:val="24"/>
        </w:rPr>
        <w:t>Mankad and Michailidis (2013) and Mankad, Michailidis, and Brunetti (2014).</w:t>
      </w:r>
      <w:r w:rsidR="002C383F">
        <w:rPr>
          <w:rStyle w:val="FootnoteReference"/>
          <w:sz w:val="24"/>
          <w:szCs w:val="24"/>
        </w:rPr>
        <w:footnoteReference w:id="19"/>
      </w:r>
      <w:r w:rsidR="001C0639">
        <w:rPr>
          <w:sz w:val="24"/>
          <w:szCs w:val="24"/>
        </w:rPr>
        <w:t xml:space="preserve"> </w:t>
      </w:r>
      <w:r w:rsidR="001C0639" w:rsidRPr="001C0639">
        <w:rPr>
          <w:sz w:val="24"/>
          <w:szCs w:val="24"/>
        </w:rPr>
        <w:t xml:space="preserve">Figure </w:t>
      </w:r>
      <w:r w:rsidR="001C0639">
        <w:rPr>
          <w:sz w:val="24"/>
          <w:szCs w:val="24"/>
        </w:rPr>
        <w:t>4</w:t>
      </w:r>
      <w:r w:rsidR="001C0639" w:rsidRPr="001C0639">
        <w:rPr>
          <w:sz w:val="24"/>
          <w:szCs w:val="24"/>
        </w:rPr>
        <w:t xml:space="preserve"> </w:t>
      </w:r>
      <w:r>
        <w:rPr>
          <w:sz w:val="24"/>
          <w:szCs w:val="24"/>
        </w:rPr>
        <w:t xml:space="preserve">displays the </w:t>
      </w:r>
      <w:r w:rsidR="001C0639" w:rsidRPr="001C0639">
        <w:rPr>
          <w:sz w:val="24"/>
          <w:szCs w:val="24"/>
        </w:rPr>
        <w:t xml:space="preserve">importance </w:t>
      </w:r>
      <w:r w:rsidR="001C0639">
        <w:rPr>
          <w:sz w:val="24"/>
          <w:szCs w:val="24"/>
        </w:rPr>
        <w:t>of each bank over time</w:t>
      </w:r>
      <w:r w:rsidR="00B133A5">
        <w:rPr>
          <w:sz w:val="24"/>
          <w:szCs w:val="24"/>
        </w:rPr>
        <w:t xml:space="preserve"> and shows </w:t>
      </w:r>
      <w:r w:rsidR="001C0639" w:rsidRPr="001C0639">
        <w:rPr>
          <w:sz w:val="24"/>
          <w:szCs w:val="24"/>
        </w:rPr>
        <w:t xml:space="preserve">that a </w:t>
      </w:r>
      <w:r w:rsidR="00B133A5">
        <w:rPr>
          <w:sz w:val="24"/>
          <w:szCs w:val="24"/>
        </w:rPr>
        <w:t xml:space="preserve">small </w:t>
      </w:r>
      <w:r w:rsidR="001C0639" w:rsidRPr="001C0639">
        <w:rPr>
          <w:sz w:val="24"/>
          <w:szCs w:val="24"/>
        </w:rPr>
        <w:t xml:space="preserve">subset of banks </w:t>
      </w:r>
      <w:r w:rsidR="00B133A5">
        <w:rPr>
          <w:sz w:val="24"/>
          <w:szCs w:val="24"/>
        </w:rPr>
        <w:t>contributed most to</w:t>
      </w:r>
      <w:r w:rsidR="001C0639" w:rsidRPr="001C0639">
        <w:rPr>
          <w:sz w:val="24"/>
          <w:szCs w:val="24"/>
        </w:rPr>
        <w:t xml:space="preserve"> </w:t>
      </w:r>
      <w:r w:rsidR="00B133A5">
        <w:rPr>
          <w:sz w:val="24"/>
          <w:szCs w:val="24"/>
        </w:rPr>
        <w:lastRenderedPageBreak/>
        <w:t xml:space="preserve">physical network </w:t>
      </w:r>
      <w:r w:rsidR="001C0639" w:rsidRPr="001C0639">
        <w:rPr>
          <w:sz w:val="24"/>
          <w:szCs w:val="24"/>
        </w:rPr>
        <w:t xml:space="preserve">connectivity during </w:t>
      </w:r>
      <w:r w:rsidR="00170F72">
        <w:rPr>
          <w:sz w:val="24"/>
          <w:szCs w:val="24"/>
        </w:rPr>
        <w:t xml:space="preserve">the crisis </w:t>
      </w:r>
      <w:r w:rsidR="001C0639" w:rsidRPr="001C0639">
        <w:rPr>
          <w:sz w:val="24"/>
          <w:szCs w:val="24"/>
        </w:rPr>
        <w:t xml:space="preserve">and </w:t>
      </w:r>
      <w:r w:rsidR="00B133A5">
        <w:rPr>
          <w:sz w:val="24"/>
          <w:szCs w:val="24"/>
        </w:rPr>
        <w:t>beyond</w:t>
      </w:r>
      <w:r w:rsidR="001C0639" w:rsidRPr="001C0639">
        <w:rPr>
          <w:sz w:val="24"/>
          <w:szCs w:val="24"/>
        </w:rPr>
        <w:t xml:space="preserve">. </w:t>
      </w:r>
      <w:r w:rsidR="00C14FB2">
        <w:rPr>
          <w:sz w:val="24"/>
          <w:szCs w:val="24"/>
        </w:rPr>
        <w:t>Interestingly</w:t>
      </w:r>
      <w:r w:rsidR="00C14FB2" w:rsidRPr="001C0639">
        <w:rPr>
          <w:sz w:val="24"/>
          <w:szCs w:val="24"/>
        </w:rPr>
        <w:t xml:space="preserve">, some banks became more connected </w:t>
      </w:r>
      <w:r w:rsidR="00C14FB2">
        <w:rPr>
          <w:sz w:val="24"/>
          <w:szCs w:val="24"/>
        </w:rPr>
        <w:t xml:space="preserve">in the physical network </w:t>
      </w:r>
      <w:r w:rsidR="00C14FB2" w:rsidRPr="001C0639">
        <w:rPr>
          <w:sz w:val="24"/>
          <w:szCs w:val="24"/>
        </w:rPr>
        <w:t xml:space="preserve">even while the overall market became less connected. </w:t>
      </w:r>
      <w:r w:rsidR="00B133A5">
        <w:rPr>
          <w:sz w:val="24"/>
          <w:szCs w:val="24"/>
        </w:rPr>
        <w:t>However, in the correlation network, the onset of the cr</w:t>
      </w:r>
      <w:r w:rsidR="00B133A5" w:rsidRPr="001C0639">
        <w:rPr>
          <w:sz w:val="24"/>
          <w:szCs w:val="24"/>
        </w:rPr>
        <w:t xml:space="preserve">isis </w:t>
      </w:r>
      <w:r w:rsidR="00C14FB2">
        <w:rPr>
          <w:sz w:val="24"/>
          <w:szCs w:val="24"/>
        </w:rPr>
        <w:t xml:space="preserve">brought a spike in connectivity among </w:t>
      </w:r>
      <w:r w:rsidR="00B133A5" w:rsidRPr="001C0639">
        <w:rPr>
          <w:sz w:val="24"/>
          <w:szCs w:val="24"/>
        </w:rPr>
        <w:t>all bank returns.</w:t>
      </w:r>
      <w:r w:rsidR="00C14FB2">
        <w:rPr>
          <w:sz w:val="24"/>
          <w:szCs w:val="24"/>
        </w:rPr>
        <w:t xml:space="preserve"> C</w:t>
      </w:r>
      <w:r w:rsidR="001C0639" w:rsidRPr="001C0639">
        <w:rPr>
          <w:sz w:val="24"/>
          <w:szCs w:val="24"/>
        </w:rPr>
        <w:t>learly</w:t>
      </w:r>
      <w:r w:rsidR="00C14FB2">
        <w:rPr>
          <w:sz w:val="24"/>
          <w:szCs w:val="24"/>
        </w:rPr>
        <w:t>, p</w:t>
      </w:r>
      <w:r w:rsidR="001C0639" w:rsidRPr="001C0639">
        <w:rPr>
          <w:sz w:val="24"/>
          <w:szCs w:val="24"/>
        </w:rPr>
        <w:t>hysical and correlation networks have different dynamics.</w:t>
      </w:r>
    </w:p>
    <w:p w14:paraId="67045057" w14:textId="77777777" w:rsidR="00910FF0" w:rsidRDefault="00910FF0" w:rsidP="006E314B">
      <w:pPr>
        <w:spacing w:line="480" w:lineRule="auto"/>
        <w:ind w:firstLine="720"/>
        <w:rPr>
          <w:rFonts w:ascii="Century" w:hAnsi="Century"/>
          <w:sz w:val="24"/>
          <w:szCs w:val="24"/>
        </w:rPr>
      </w:pPr>
    </w:p>
    <w:p w14:paraId="2B8AFE63" w14:textId="6F0A139D" w:rsidR="00A82C94" w:rsidRPr="00590E71" w:rsidRDefault="007D2978" w:rsidP="00A82C94">
      <w:pPr>
        <w:pStyle w:val="ListParagraph"/>
        <w:spacing w:line="480" w:lineRule="auto"/>
        <w:ind w:left="0"/>
        <w:rPr>
          <w:b/>
          <w:sz w:val="28"/>
          <w:szCs w:val="28"/>
        </w:rPr>
      </w:pPr>
      <w:r w:rsidRPr="00590E71">
        <w:rPr>
          <w:b/>
          <w:sz w:val="28"/>
          <w:szCs w:val="28"/>
        </w:rPr>
        <w:t>6.</w:t>
      </w:r>
      <w:r w:rsidR="00A82C94" w:rsidRPr="00590E71">
        <w:rPr>
          <w:b/>
          <w:sz w:val="28"/>
          <w:szCs w:val="28"/>
        </w:rPr>
        <w:t xml:space="preserve"> </w:t>
      </w:r>
      <w:r w:rsidR="0048342B" w:rsidRPr="00590E71">
        <w:rPr>
          <w:b/>
          <w:sz w:val="28"/>
          <w:szCs w:val="28"/>
        </w:rPr>
        <w:t xml:space="preserve">Economic </w:t>
      </w:r>
      <w:r w:rsidR="003C5967" w:rsidRPr="00590E71">
        <w:rPr>
          <w:b/>
          <w:sz w:val="28"/>
          <w:szCs w:val="28"/>
        </w:rPr>
        <w:t>Shocks and Network Connectedness</w:t>
      </w:r>
    </w:p>
    <w:p w14:paraId="74556045" w14:textId="3618A00F" w:rsidR="002C383F" w:rsidRDefault="00C14FB2" w:rsidP="00490DBB">
      <w:pPr>
        <w:spacing w:line="480" w:lineRule="auto"/>
        <w:ind w:firstLine="720"/>
        <w:jc w:val="both"/>
        <w:rPr>
          <w:rFonts w:ascii="Century" w:hAnsi="Century"/>
          <w:sz w:val="24"/>
          <w:szCs w:val="24"/>
        </w:rPr>
      </w:pPr>
      <w:r>
        <w:rPr>
          <w:rFonts w:ascii="Century" w:hAnsi="Century"/>
          <w:sz w:val="24"/>
          <w:szCs w:val="24"/>
        </w:rPr>
        <w:t xml:space="preserve">We explore these differing dynamics further by analyzing </w:t>
      </w:r>
      <w:r w:rsidR="00C20678">
        <w:rPr>
          <w:rFonts w:ascii="Century" w:hAnsi="Century"/>
          <w:sz w:val="24"/>
          <w:szCs w:val="24"/>
        </w:rPr>
        <w:t xml:space="preserve">how these </w:t>
      </w:r>
      <w:r w:rsidR="006E314B">
        <w:rPr>
          <w:rFonts w:ascii="Century" w:hAnsi="Century"/>
          <w:sz w:val="24"/>
          <w:szCs w:val="24"/>
        </w:rPr>
        <w:t xml:space="preserve">network </w:t>
      </w:r>
      <w:r w:rsidR="00C20678">
        <w:rPr>
          <w:rFonts w:ascii="Century" w:hAnsi="Century"/>
          <w:sz w:val="24"/>
          <w:szCs w:val="24"/>
        </w:rPr>
        <w:t xml:space="preserve">structures </w:t>
      </w:r>
      <w:r w:rsidR="006E314B">
        <w:rPr>
          <w:rFonts w:ascii="Century" w:hAnsi="Century"/>
          <w:sz w:val="24"/>
          <w:szCs w:val="24"/>
        </w:rPr>
        <w:t xml:space="preserve">reflect </w:t>
      </w:r>
      <w:r w:rsidR="00C20678">
        <w:rPr>
          <w:rFonts w:ascii="Century" w:hAnsi="Century"/>
          <w:sz w:val="24"/>
          <w:szCs w:val="24"/>
        </w:rPr>
        <w:t xml:space="preserve">economic shocks. </w:t>
      </w:r>
      <w:r>
        <w:rPr>
          <w:rFonts w:ascii="Century" w:hAnsi="Century"/>
          <w:sz w:val="24"/>
          <w:szCs w:val="24"/>
        </w:rPr>
        <w:t>Given that markets react to announcements (e.g.</w:t>
      </w:r>
      <w:r w:rsidRPr="00367A1F">
        <w:rPr>
          <w:rFonts w:ascii="Century" w:hAnsi="Century"/>
          <w:sz w:val="24"/>
          <w:szCs w:val="24"/>
        </w:rPr>
        <w:t xml:space="preserve"> </w:t>
      </w:r>
      <w:r w:rsidRPr="00367A1F">
        <w:rPr>
          <w:sz w:val="24"/>
          <w:szCs w:val="24"/>
        </w:rPr>
        <w:t xml:space="preserve">Faust, Rogers, Wang and Wright, </w:t>
      </w:r>
      <w:r>
        <w:rPr>
          <w:sz w:val="24"/>
          <w:szCs w:val="24"/>
        </w:rPr>
        <w:t>(</w:t>
      </w:r>
      <w:r w:rsidRPr="00367A1F">
        <w:rPr>
          <w:sz w:val="24"/>
          <w:szCs w:val="24"/>
        </w:rPr>
        <w:t>2007</w:t>
      </w:r>
      <w:r>
        <w:rPr>
          <w:sz w:val="24"/>
          <w:szCs w:val="24"/>
        </w:rPr>
        <w:t>)</w:t>
      </w:r>
      <w:r w:rsidRPr="00367A1F">
        <w:rPr>
          <w:sz w:val="24"/>
          <w:szCs w:val="24"/>
        </w:rPr>
        <w:t>)</w:t>
      </w:r>
      <w:r>
        <w:rPr>
          <w:sz w:val="24"/>
          <w:szCs w:val="24"/>
        </w:rPr>
        <w:t xml:space="preserve">, we aim to compare and contrast how announcements are reflected in the stock market and interbank market. </w:t>
      </w:r>
      <w:r w:rsidR="00C20678">
        <w:rPr>
          <w:rFonts w:ascii="Century" w:hAnsi="Century"/>
          <w:sz w:val="24"/>
          <w:szCs w:val="24"/>
        </w:rPr>
        <w:t xml:space="preserve">We are particularly interested in two types of shocks. The first type refers to </w:t>
      </w:r>
      <w:r w:rsidR="006E314B">
        <w:rPr>
          <w:rFonts w:ascii="Century" w:hAnsi="Century"/>
          <w:sz w:val="24"/>
          <w:szCs w:val="24"/>
        </w:rPr>
        <w:t>European Central Bank (ECB) announce</w:t>
      </w:r>
      <w:r w:rsidR="00D941DF">
        <w:rPr>
          <w:rFonts w:ascii="Century" w:hAnsi="Century"/>
          <w:sz w:val="24"/>
          <w:szCs w:val="24"/>
        </w:rPr>
        <w:t xml:space="preserve">ments and </w:t>
      </w:r>
      <w:r w:rsidR="006E314B">
        <w:rPr>
          <w:rFonts w:ascii="Century" w:hAnsi="Century"/>
          <w:sz w:val="24"/>
          <w:szCs w:val="24"/>
        </w:rPr>
        <w:t>interventions</w:t>
      </w:r>
      <w:r w:rsidR="00342EF3">
        <w:rPr>
          <w:rFonts w:ascii="Century" w:hAnsi="Century"/>
          <w:sz w:val="24"/>
          <w:szCs w:val="24"/>
        </w:rPr>
        <w:t>.</w:t>
      </w:r>
      <w:r w:rsidR="006E314B">
        <w:rPr>
          <w:rFonts w:ascii="Century" w:hAnsi="Century"/>
          <w:sz w:val="24"/>
          <w:szCs w:val="24"/>
        </w:rPr>
        <w:t xml:space="preserve"> </w:t>
      </w:r>
      <w:r w:rsidR="00C20678">
        <w:rPr>
          <w:rFonts w:ascii="Century" w:hAnsi="Century"/>
          <w:sz w:val="24"/>
          <w:szCs w:val="24"/>
        </w:rPr>
        <w:t>During our sample period, the ECB adopted both conventional and unconventional</w:t>
      </w:r>
      <w:r w:rsidR="00133EFA">
        <w:rPr>
          <w:rFonts w:ascii="Century" w:hAnsi="Century"/>
          <w:sz w:val="24"/>
          <w:szCs w:val="24"/>
        </w:rPr>
        <w:t xml:space="preserve"> monetary</w:t>
      </w:r>
      <w:r w:rsidR="00C20678">
        <w:rPr>
          <w:rFonts w:ascii="Century" w:hAnsi="Century"/>
          <w:sz w:val="24"/>
          <w:szCs w:val="24"/>
        </w:rPr>
        <w:t xml:space="preserve"> interventions. </w:t>
      </w:r>
      <w:r w:rsidR="00D941DF">
        <w:rPr>
          <w:rFonts w:ascii="Century" w:hAnsi="Century"/>
          <w:sz w:val="24"/>
          <w:szCs w:val="24"/>
        </w:rPr>
        <w:t>In particular, for the ECB interventions</w:t>
      </w:r>
      <w:r w:rsidR="00D941DF">
        <w:rPr>
          <w:rStyle w:val="FootnoteReference"/>
          <w:rFonts w:ascii="Century" w:hAnsi="Century"/>
          <w:sz w:val="24"/>
          <w:szCs w:val="24"/>
        </w:rPr>
        <w:footnoteReference w:id="20"/>
      </w:r>
      <w:r w:rsidR="00D941DF">
        <w:rPr>
          <w:rFonts w:ascii="Century" w:hAnsi="Century"/>
          <w:sz w:val="24"/>
          <w:szCs w:val="24"/>
        </w:rPr>
        <w:t xml:space="preserve"> we distinguish among</w:t>
      </w:r>
      <w:r w:rsidR="007336CB">
        <w:rPr>
          <w:rFonts w:ascii="Century" w:hAnsi="Century"/>
          <w:sz w:val="24"/>
          <w:szCs w:val="24"/>
        </w:rPr>
        <w:t xml:space="preserve"> Long T</w:t>
      </w:r>
      <w:r w:rsidR="00D941DF">
        <w:rPr>
          <w:rFonts w:ascii="Century" w:hAnsi="Century"/>
          <w:sz w:val="24"/>
          <w:szCs w:val="24"/>
        </w:rPr>
        <w:t xml:space="preserve">erm Refinancing Operations (LTRO), Main Refinancing Operations (MRO) and Other Type (OT) of ECB operations. For the announcements we follow Rogers, Scotti and Wright (2014) and consider conventional and unconventional ECB operations. </w:t>
      </w:r>
    </w:p>
    <w:p w14:paraId="411C2A9C" w14:textId="565688C4" w:rsidR="004A6163" w:rsidRDefault="00C20678" w:rsidP="00490DBB">
      <w:pPr>
        <w:spacing w:line="480" w:lineRule="auto"/>
        <w:ind w:firstLine="720"/>
        <w:jc w:val="both"/>
        <w:rPr>
          <w:rFonts w:ascii="Century" w:hAnsi="Century"/>
          <w:sz w:val="24"/>
          <w:szCs w:val="24"/>
        </w:rPr>
      </w:pPr>
      <w:r>
        <w:rPr>
          <w:rFonts w:ascii="Century" w:hAnsi="Century"/>
          <w:sz w:val="24"/>
          <w:szCs w:val="24"/>
        </w:rPr>
        <w:t xml:space="preserve">The second type of shocks we consider refer to </w:t>
      </w:r>
      <w:r w:rsidR="002C383F">
        <w:rPr>
          <w:rFonts w:ascii="Century" w:hAnsi="Century"/>
          <w:sz w:val="24"/>
          <w:szCs w:val="24"/>
        </w:rPr>
        <w:t xml:space="preserve">more general changes in </w:t>
      </w:r>
      <w:r>
        <w:rPr>
          <w:rFonts w:ascii="Century" w:hAnsi="Century"/>
          <w:sz w:val="24"/>
          <w:szCs w:val="24"/>
        </w:rPr>
        <w:t xml:space="preserve">macroeconomic conditions. We </w:t>
      </w:r>
      <w:r w:rsidR="00B620B1">
        <w:rPr>
          <w:rFonts w:ascii="Century" w:hAnsi="Century"/>
          <w:sz w:val="24"/>
          <w:szCs w:val="24"/>
        </w:rPr>
        <w:t xml:space="preserve">first </w:t>
      </w:r>
      <w:r>
        <w:rPr>
          <w:rFonts w:ascii="Century" w:hAnsi="Century"/>
          <w:sz w:val="24"/>
          <w:szCs w:val="24"/>
        </w:rPr>
        <w:t xml:space="preserve">capture these shocks using the </w:t>
      </w:r>
      <w:r w:rsidR="00490DBB">
        <w:rPr>
          <w:rFonts w:ascii="Century" w:hAnsi="Century"/>
          <w:sz w:val="24"/>
          <w:szCs w:val="24"/>
        </w:rPr>
        <w:t xml:space="preserve">real activity indices </w:t>
      </w:r>
      <w:r w:rsidR="00342EF3">
        <w:rPr>
          <w:rFonts w:ascii="Century" w:hAnsi="Century"/>
          <w:sz w:val="24"/>
          <w:szCs w:val="24"/>
        </w:rPr>
        <w:t>developed in Scotti (201</w:t>
      </w:r>
      <w:r>
        <w:rPr>
          <w:rFonts w:ascii="Century" w:hAnsi="Century"/>
          <w:sz w:val="24"/>
          <w:szCs w:val="24"/>
        </w:rPr>
        <w:t>3</w:t>
      </w:r>
      <w:r w:rsidR="00342EF3">
        <w:rPr>
          <w:rFonts w:ascii="Century" w:hAnsi="Century"/>
          <w:sz w:val="24"/>
          <w:szCs w:val="24"/>
        </w:rPr>
        <w:t>)</w:t>
      </w:r>
      <w:r w:rsidR="00133EFA">
        <w:rPr>
          <w:rFonts w:ascii="Century" w:hAnsi="Century"/>
          <w:sz w:val="24"/>
          <w:szCs w:val="24"/>
        </w:rPr>
        <w:t>:</w:t>
      </w:r>
      <w:r w:rsidR="006E314B">
        <w:rPr>
          <w:rFonts w:ascii="Century" w:hAnsi="Century"/>
          <w:sz w:val="24"/>
          <w:szCs w:val="24"/>
        </w:rPr>
        <w:t xml:space="preserve"> </w:t>
      </w:r>
      <w:r w:rsidR="00B620B1">
        <w:rPr>
          <w:rFonts w:ascii="Century" w:hAnsi="Century"/>
          <w:sz w:val="24"/>
          <w:szCs w:val="24"/>
        </w:rPr>
        <w:t>the surprise and uncertainty indices. T</w:t>
      </w:r>
      <w:r w:rsidR="00490DBB">
        <w:rPr>
          <w:rFonts w:ascii="Century" w:hAnsi="Century"/>
          <w:sz w:val="24"/>
          <w:szCs w:val="24"/>
        </w:rPr>
        <w:t xml:space="preserve">he </w:t>
      </w:r>
      <w:r w:rsidR="00490DBB" w:rsidRPr="00490DBB">
        <w:rPr>
          <w:rFonts w:ascii="Century" w:hAnsi="Century"/>
          <w:sz w:val="24"/>
          <w:szCs w:val="24"/>
        </w:rPr>
        <w:t xml:space="preserve">surprise </w:t>
      </w:r>
      <w:r w:rsidR="00490DBB" w:rsidRPr="00490DBB">
        <w:rPr>
          <w:rFonts w:ascii="Century" w:hAnsi="Century"/>
          <w:sz w:val="24"/>
          <w:szCs w:val="24"/>
        </w:rPr>
        <w:lastRenderedPageBreak/>
        <w:t>index summarizes</w:t>
      </w:r>
      <w:r w:rsidR="00490DBB">
        <w:rPr>
          <w:rFonts w:ascii="Century" w:hAnsi="Century"/>
          <w:sz w:val="24"/>
          <w:szCs w:val="24"/>
        </w:rPr>
        <w:t xml:space="preserve"> </w:t>
      </w:r>
      <w:r w:rsidR="00490DBB" w:rsidRPr="00490DBB">
        <w:rPr>
          <w:rFonts w:ascii="Century" w:hAnsi="Century"/>
          <w:sz w:val="24"/>
          <w:szCs w:val="24"/>
        </w:rPr>
        <w:t xml:space="preserve">recent economic data surprises and </w:t>
      </w:r>
      <w:r w:rsidR="00B620B1">
        <w:rPr>
          <w:rFonts w:ascii="Century" w:hAnsi="Century"/>
          <w:sz w:val="24"/>
          <w:szCs w:val="24"/>
        </w:rPr>
        <w:t>captures</w:t>
      </w:r>
      <w:r w:rsidR="00490DBB" w:rsidRPr="00490DBB">
        <w:rPr>
          <w:rFonts w:ascii="Century" w:hAnsi="Century"/>
          <w:sz w:val="24"/>
          <w:szCs w:val="24"/>
        </w:rPr>
        <w:t xml:space="preserve"> optimism</w:t>
      </w:r>
      <w:r w:rsidR="00490DBB">
        <w:rPr>
          <w:rFonts w:ascii="Century" w:hAnsi="Century"/>
          <w:sz w:val="24"/>
          <w:szCs w:val="24"/>
        </w:rPr>
        <w:t>/</w:t>
      </w:r>
      <w:r w:rsidR="00490DBB" w:rsidRPr="00490DBB">
        <w:rPr>
          <w:rFonts w:ascii="Century" w:hAnsi="Century"/>
          <w:sz w:val="24"/>
          <w:szCs w:val="24"/>
        </w:rPr>
        <w:t>pessimism about the state of the</w:t>
      </w:r>
      <w:r w:rsidR="00490DBB">
        <w:rPr>
          <w:rFonts w:ascii="Century" w:hAnsi="Century"/>
          <w:sz w:val="24"/>
          <w:szCs w:val="24"/>
        </w:rPr>
        <w:t xml:space="preserve"> </w:t>
      </w:r>
      <w:r w:rsidR="00490DBB" w:rsidRPr="00490DBB">
        <w:rPr>
          <w:rFonts w:ascii="Century" w:hAnsi="Century"/>
          <w:sz w:val="24"/>
          <w:szCs w:val="24"/>
        </w:rPr>
        <w:t>economy</w:t>
      </w:r>
      <w:r w:rsidR="00B620B1">
        <w:rPr>
          <w:rFonts w:ascii="Century" w:hAnsi="Century"/>
          <w:sz w:val="24"/>
          <w:szCs w:val="24"/>
        </w:rPr>
        <w:t>. T</w:t>
      </w:r>
      <w:r w:rsidR="00490DBB">
        <w:rPr>
          <w:rFonts w:ascii="Century" w:hAnsi="Century"/>
          <w:sz w:val="24"/>
          <w:szCs w:val="24"/>
        </w:rPr>
        <w:t>he</w:t>
      </w:r>
      <w:r w:rsidR="00490DBB" w:rsidRPr="00490DBB">
        <w:rPr>
          <w:rFonts w:ascii="Century" w:hAnsi="Century"/>
          <w:sz w:val="24"/>
          <w:szCs w:val="24"/>
        </w:rPr>
        <w:t xml:space="preserve"> uncertainty index measures uncertainty related to the state of the</w:t>
      </w:r>
      <w:r w:rsidR="00490DBB">
        <w:rPr>
          <w:rFonts w:ascii="Century" w:hAnsi="Century"/>
          <w:sz w:val="24"/>
          <w:szCs w:val="24"/>
        </w:rPr>
        <w:t xml:space="preserve"> </w:t>
      </w:r>
      <w:r w:rsidR="00490DBB" w:rsidRPr="00490DBB">
        <w:rPr>
          <w:rFonts w:ascii="Century" w:hAnsi="Century"/>
          <w:sz w:val="24"/>
          <w:szCs w:val="24"/>
        </w:rPr>
        <w:t>economy.</w:t>
      </w:r>
      <w:r w:rsidR="00B620B1">
        <w:rPr>
          <w:rStyle w:val="FootnoteReference"/>
          <w:rFonts w:ascii="Century" w:hAnsi="Century"/>
          <w:sz w:val="24"/>
          <w:szCs w:val="24"/>
        </w:rPr>
        <w:footnoteReference w:id="21"/>
      </w:r>
      <w:r w:rsidR="00490DBB" w:rsidRPr="00490DBB">
        <w:rPr>
          <w:rFonts w:ascii="Century" w:hAnsi="Century"/>
          <w:sz w:val="24"/>
          <w:szCs w:val="24"/>
        </w:rPr>
        <w:t xml:space="preserve"> </w:t>
      </w:r>
      <w:r w:rsidR="00133EFA">
        <w:rPr>
          <w:rFonts w:ascii="Century" w:hAnsi="Century"/>
          <w:sz w:val="24"/>
          <w:szCs w:val="24"/>
        </w:rPr>
        <w:t xml:space="preserve">We also consider the evolution of the European stock market, captured by the Dow-Jones index for Europe and the </w:t>
      </w:r>
      <w:r w:rsidR="00133EFA" w:rsidRPr="00133EFA">
        <w:rPr>
          <w:rFonts w:ascii="Century" w:hAnsi="Century"/>
          <w:sz w:val="24"/>
          <w:szCs w:val="24"/>
        </w:rPr>
        <w:t>London Interbank Offered Rate</w:t>
      </w:r>
      <w:r w:rsidR="00133EFA">
        <w:rPr>
          <w:rFonts w:ascii="Century" w:hAnsi="Century"/>
          <w:sz w:val="24"/>
          <w:szCs w:val="24"/>
        </w:rPr>
        <w:t xml:space="preserve"> (LIBOR).</w:t>
      </w:r>
    </w:p>
    <w:p w14:paraId="0E4DF236" w14:textId="2FB10CC2" w:rsidR="006E314B" w:rsidRDefault="00490DBB" w:rsidP="00C20678">
      <w:pPr>
        <w:spacing w:line="480" w:lineRule="auto"/>
        <w:ind w:firstLine="720"/>
        <w:jc w:val="both"/>
        <w:rPr>
          <w:rFonts w:ascii="Century" w:hAnsi="Century"/>
          <w:sz w:val="24"/>
          <w:szCs w:val="24"/>
        </w:rPr>
      </w:pPr>
      <w:r>
        <w:rPr>
          <w:rFonts w:ascii="Century" w:hAnsi="Century"/>
          <w:sz w:val="24"/>
          <w:szCs w:val="24"/>
        </w:rPr>
        <w:t xml:space="preserve">To fully capture the </w:t>
      </w:r>
      <w:r w:rsidR="00AB1BE3">
        <w:rPr>
          <w:rFonts w:ascii="Century" w:hAnsi="Century"/>
          <w:sz w:val="24"/>
          <w:szCs w:val="24"/>
        </w:rPr>
        <w:t xml:space="preserve">ECB </w:t>
      </w:r>
      <w:r w:rsidR="00133EFA">
        <w:rPr>
          <w:rFonts w:ascii="Century" w:hAnsi="Century"/>
          <w:sz w:val="24"/>
          <w:szCs w:val="24"/>
        </w:rPr>
        <w:t>shocks</w:t>
      </w:r>
      <w:r w:rsidR="00AB1BE3">
        <w:rPr>
          <w:rFonts w:ascii="Century" w:hAnsi="Century"/>
          <w:sz w:val="24"/>
          <w:szCs w:val="24"/>
        </w:rPr>
        <w:t xml:space="preserve"> </w:t>
      </w:r>
      <w:r>
        <w:rPr>
          <w:rFonts w:ascii="Century" w:hAnsi="Century"/>
          <w:sz w:val="24"/>
          <w:szCs w:val="24"/>
        </w:rPr>
        <w:t>we use</w:t>
      </w:r>
      <w:r w:rsidR="00AB1BE3">
        <w:rPr>
          <w:rFonts w:ascii="Century" w:hAnsi="Century"/>
          <w:sz w:val="24"/>
          <w:szCs w:val="24"/>
        </w:rPr>
        <w:t xml:space="preserve"> daily data. Hence, f</w:t>
      </w:r>
      <w:r w:rsidR="00C15690">
        <w:rPr>
          <w:rFonts w:ascii="Century" w:hAnsi="Century"/>
          <w:sz w:val="24"/>
          <w:szCs w:val="24"/>
        </w:rPr>
        <w:t xml:space="preserve">or this exercise we </w:t>
      </w:r>
      <w:r w:rsidR="00802F8F">
        <w:rPr>
          <w:rFonts w:ascii="Century" w:hAnsi="Century"/>
          <w:sz w:val="24"/>
          <w:szCs w:val="24"/>
        </w:rPr>
        <w:t>adopt</w:t>
      </w:r>
      <w:r w:rsidR="00C15690">
        <w:rPr>
          <w:rFonts w:ascii="Century" w:hAnsi="Century"/>
          <w:sz w:val="24"/>
          <w:szCs w:val="24"/>
        </w:rPr>
        <w:t xml:space="preserve"> daily networks.</w:t>
      </w:r>
      <w:r w:rsidR="00342EF3">
        <w:rPr>
          <w:rFonts w:ascii="Century" w:hAnsi="Century"/>
          <w:sz w:val="24"/>
          <w:szCs w:val="24"/>
        </w:rPr>
        <w:t xml:space="preserve"> </w:t>
      </w:r>
      <w:r w:rsidR="006E314B">
        <w:rPr>
          <w:rFonts w:ascii="Century" w:hAnsi="Century"/>
          <w:sz w:val="24"/>
          <w:szCs w:val="24"/>
        </w:rPr>
        <w:t>Following Kilian and Vega (2011), we estimate the following model</w:t>
      </w:r>
      <w:r w:rsidR="007336CB">
        <w:rPr>
          <w:rFonts w:ascii="Century" w:hAnsi="Century"/>
          <w:sz w:val="24"/>
          <w:szCs w:val="24"/>
        </w:rPr>
        <w:t>s</w:t>
      </w:r>
      <w:r w:rsidR="006E314B">
        <w:rPr>
          <w:rFonts w:ascii="Century" w:hAnsi="Century"/>
          <w:sz w:val="24"/>
          <w:szCs w:val="24"/>
        </w:rPr>
        <w:t xml:space="preserve"> for each sub-period and for each network type: </w:t>
      </w:r>
    </w:p>
    <w:p w14:paraId="21493A26" w14:textId="77777777" w:rsidR="00BF5A7A" w:rsidRPr="00802F8F" w:rsidRDefault="00851398" w:rsidP="006E314B">
      <w:pPr>
        <w:spacing w:line="480" w:lineRule="auto"/>
        <w:rPr>
          <w:rFonts w:ascii="Century" w:eastAsiaTheme="minorEastAsia" w:hAnsi="Century"/>
          <w:sz w:val="24"/>
          <w:szCs w:val="24"/>
        </w:rPr>
      </w:pPr>
      <m:oMathPara>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t+k</m:t>
              </m:r>
            </m:sub>
          </m:sSub>
          <m:r>
            <w:rPr>
              <w:rFonts w:ascii="Cambria Math" w:hAnsi="Cambria Math"/>
              <w:sz w:val="24"/>
              <w:szCs w:val="24"/>
            </w:rPr>
            <m:t>=</m:t>
          </m:r>
        </m:oMath>
      </m:oMathPara>
    </w:p>
    <w:p w14:paraId="1FF2365F" w14:textId="4FEC6AE0" w:rsidR="00B620B1" w:rsidRDefault="00C055C4" w:rsidP="007336CB">
      <w:pPr>
        <w:spacing w:line="480" w:lineRule="auto"/>
        <w:jc w:val="center"/>
        <w:rPr>
          <w:rFonts w:ascii="Century" w:eastAsiaTheme="minorEastAsia" w:hAnsi="Century"/>
          <w:sz w:val="24"/>
          <w:szCs w:val="24"/>
        </w:rPr>
      </w:pPr>
      <m:oMath>
        <m:r>
          <w:rPr>
            <w:rFonts w:ascii="Cambria Math" w:hAnsi="Cambria Math"/>
          </w:rPr>
          <m:t xml:space="preserve">α+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U</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DJS</m:t>
        </m:r>
        <m:sSub>
          <m:sSubPr>
            <m:ctrlPr>
              <w:rPr>
                <w:rFonts w:ascii="Cambria Math" w:hAnsi="Cambria Math"/>
                <w:i/>
              </w:rPr>
            </m:ctrlPr>
          </m:sSubPr>
          <m:e>
            <m:r>
              <w:rPr>
                <w:rFonts w:ascii="Cambria Math" w:hAnsi="Cambria Math"/>
              </w:rPr>
              <m:t>T</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4</m:t>
            </m:r>
          </m:sub>
        </m:sSub>
        <m:r>
          <w:rPr>
            <w:rFonts w:ascii="Cambria Math" w:hAnsi="Cambria Math"/>
          </w:rPr>
          <m:t>EONI</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5</m:t>
            </m:r>
          </m:sub>
        </m:sSub>
        <m:r>
          <w:rPr>
            <w:rFonts w:ascii="Cambria Math" w:hAnsi="Cambria Math"/>
          </w:rPr>
          <m:t>LTR</m:t>
        </m:r>
        <m:sSub>
          <m:sSubPr>
            <m:ctrlPr>
              <w:rPr>
                <w:rFonts w:ascii="Cambria Math" w:hAnsi="Cambria Math"/>
                <w:i/>
              </w:rPr>
            </m:ctrlPr>
          </m:sSubPr>
          <m:e>
            <m:r>
              <w:rPr>
                <w:rFonts w:ascii="Cambria Math" w:hAnsi="Cambria Math"/>
              </w:rPr>
              <m:t>O</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6</m:t>
            </m:r>
          </m:sub>
        </m:sSub>
        <m:r>
          <w:rPr>
            <w:rFonts w:ascii="Cambria Math" w:hAnsi="Cambria Math"/>
          </w:rPr>
          <m:t>MR</m:t>
        </m:r>
        <m:sSub>
          <m:sSubPr>
            <m:ctrlPr>
              <w:rPr>
                <w:rFonts w:ascii="Cambria Math" w:hAnsi="Cambria Math"/>
                <w:i/>
              </w:rPr>
            </m:ctrlPr>
          </m:sSubPr>
          <m:e>
            <m:r>
              <w:rPr>
                <w:rFonts w:ascii="Cambria Math" w:hAnsi="Cambria Math"/>
              </w:rPr>
              <m:t>O</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7</m:t>
            </m:r>
          </m:sub>
        </m:sSub>
        <m:r>
          <w:rPr>
            <w:rFonts w:ascii="Cambria Math" w:hAnsi="Cambria Math"/>
          </w:rPr>
          <m:t>O</m:t>
        </m:r>
        <m:sSub>
          <m:sSubPr>
            <m:ctrlPr>
              <w:rPr>
                <w:rFonts w:ascii="Cambria Math" w:hAnsi="Cambria Math"/>
                <w:i/>
              </w:rPr>
            </m:ctrlPr>
          </m:sSubPr>
          <m:e>
            <m:r>
              <w:rPr>
                <w:rFonts w:ascii="Cambria Math" w:hAnsi="Cambria Math"/>
              </w:rPr>
              <m:t>T</m:t>
            </m:r>
          </m:e>
          <m:sub>
            <m:r>
              <w:rPr>
                <w:rFonts w:ascii="Cambria Math" w:hAnsi="Cambria Math"/>
              </w:rPr>
              <m:t>t</m:t>
            </m:r>
          </m:sub>
        </m:sSub>
        <m:r>
          <w:rPr>
            <w:rFonts w:ascii="Cambria Math" w:hAnsi="Cambria Math"/>
          </w:rPr>
          <m:t>+γ</m:t>
        </m:r>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 xml:space="preserve">+ </m:t>
        </m:r>
        <m:sSub>
          <m:sSubPr>
            <m:ctrlPr>
              <w:rPr>
                <w:rFonts w:ascii="Cambria Math" w:hAnsi="Cambria Math"/>
                <w:i/>
              </w:rPr>
            </m:ctrlPr>
          </m:sSubPr>
          <m:e>
            <m:r>
              <w:rPr>
                <w:rFonts w:ascii="Cambria Math" w:hAnsi="Cambria Math"/>
              </w:rPr>
              <m:t>ε</m:t>
            </m:r>
          </m:e>
          <m:sub>
            <m:r>
              <w:rPr>
                <w:rFonts w:ascii="Cambria Math" w:hAnsi="Cambria Math"/>
              </w:rPr>
              <m:t>t</m:t>
            </m:r>
          </m:sub>
        </m:sSub>
      </m:oMath>
      <w:r w:rsidR="00B620B1">
        <w:rPr>
          <w:rFonts w:ascii="Century" w:eastAsiaTheme="minorEastAsia" w:hAnsi="Century"/>
          <w:sz w:val="24"/>
          <w:szCs w:val="24"/>
        </w:rPr>
        <w:t xml:space="preserve">    </w:t>
      </w:r>
      <w:r w:rsidR="00BF5A7A">
        <w:rPr>
          <w:rFonts w:ascii="Century" w:eastAsiaTheme="minorEastAsia" w:hAnsi="Century"/>
          <w:sz w:val="24"/>
          <w:szCs w:val="24"/>
        </w:rPr>
        <w:t>(12)</w:t>
      </w:r>
    </w:p>
    <w:p w14:paraId="51C004E5" w14:textId="77777777" w:rsidR="007336CB" w:rsidRDefault="007336CB" w:rsidP="007336CB">
      <w:pPr>
        <w:spacing w:line="480" w:lineRule="auto"/>
        <w:rPr>
          <w:rFonts w:ascii="Century" w:eastAsiaTheme="minorEastAsia" w:hAnsi="Century"/>
          <w:sz w:val="24"/>
          <w:szCs w:val="24"/>
        </w:rPr>
      </w:pPr>
    </w:p>
    <w:p w14:paraId="38181D39" w14:textId="77777777" w:rsidR="007336CB" w:rsidRPr="00802F8F" w:rsidRDefault="00851398" w:rsidP="007336CB">
      <w:pPr>
        <w:spacing w:line="480" w:lineRule="auto"/>
        <w:rPr>
          <w:rFonts w:ascii="Century" w:eastAsiaTheme="minorEastAsia" w:hAnsi="Century"/>
          <w:sz w:val="24"/>
          <w:szCs w:val="24"/>
        </w:rPr>
      </w:pPr>
      <m:oMathPara>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t+k</m:t>
              </m:r>
            </m:sub>
          </m:sSub>
          <m:r>
            <w:rPr>
              <w:rFonts w:ascii="Cambria Math" w:hAnsi="Cambria Math"/>
              <w:sz w:val="24"/>
              <w:szCs w:val="24"/>
            </w:rPr>
            <m:t>=</m:t>
          </m:r>
        </m:oMath>
      </m:oMathPara>
    </w:p>
    <w:p w14:paraId="1025E9A7" w14:textId="77777777" w:rsidR="007336CB" w:rsidRDefault="007336CB" w:rsidP="007336CB">
      <w:pPr>
        <w:spacing w:line="480" w:lineRule="auto"/>
        <w:jc w:val="center"/>
        <w:rPr>
          <w:rFonts w:ascii="Century" w:eastAsiaTheme="minorEastAsia" w:hAnsi="Century"/>
          <w:sz w:val="24"/>
          <w:szCs w:val="24"/>
        </w:rPr>
      </w:pPr>
      <m:oMath>
        <m:r>
          <w:rPr>
            <w:rFonts w:ascii="Cambria Math" w:hAnsi="Cambria Math"/>
          </w:rPr>
          <m:t xml:space="preserve">α+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U</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DJS</m:t>
        </m:r>
        <m:sSub>
          <m:sSubPr>
            <m:ctrlPr>
              <w:rPr>
                <w:rFonts w:ascii="Cambria Math" w:hAnsi="Cambria Math"/>
                <w:i/>
              </w:rPr>
            </m:ctrlPr>
          </m:sSubPr>
          <m:e>
            <m:r>
              <w:rPr>
                <w:rFonts w:ascii="Cambria Math" w:hAnsi="Cambria Math"/>
              </w:rPr>
              <m:t>T</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4</m:t>
            </m:r>
          </m:sub>
        </m:sSub>
        <m:r>
          <w:rPr>
            <w:rFonts w:ascii="Cambria Math" w:hAnsi="Cambria Math"/>
          </w:rPr>
          <m:t>EONI</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5</m:t>
            </m:r>
          </m:sub>
        </m:sSub>
        <m:r>
          <w:rPr>
            <w:rFonts w:ascii="Cambria Math" w:hAnsi="Cambria Math"/>
          </w:rPr>
          <m:t>Annoucement</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+γ</m:t>
        </m:r>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t</m:t>
            </m:r>
          </m:sub>
        </m:sSub>
      </m:oMath>
      <w:r>
        <w:rPr>
          <w:rFonts w:ascii="Century" w:eastAsiaTheme="minorEastAsia" w:hAnsi="Century"/>
          <w:sz w:val="24"/>
          <w:szCs w:val="24"/>
        </w:rPr>
        <w:t xml:space="preserve">       (13)</w:t>
      </w:r>
    </w:p>
    <w:p w14:paraId="7AA969C0" w14:textId="4118952E" w:rsidR="00BF5A7A" w:rsidRDefault="006E314B" w:rsidP="00B40886">
      <w:pPr>
        <w:spacing w:line="480" w:lineRule="auto"/>
        <w:jc w:val="both"/>
        <w:rPr>
          <w:rFonts w:eastAsiaTheme="minorEastAsia"/>
          <w:sz w:val="24"/>
          <w:szCs w:val="24"/>
        </w:rPr>
      </w:pPr>
      <w:r>
        <w:rPr>
          <w:rFonts w:ascii="Century" w:hAnsi="Century"/>
          <w:sz w:val="24"/>
          <w:szCs w:val="24"/>
        </w:rPr>
        <w:t xml:space="preserve">where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t+k</m:t>
            </m:r>
          </m:sub>
        </m:sSub>
      </m:oMath>
      <w:r>
        <w:rPr>
          <w:rFonts w:ascii="Century" w:eastAsiaTheme="minorEastAsia" w:hAnsi="Century"/>
          <w:sz w:val="24"/>
          <w:szCs w:val="24"/>
        </w:rPr>
        <w:t xml:space="preserve"> represents network statistics (</w:t>
      </w:r>
      <w:r w:rsidR="00433C0B" w:rsidRPr="00433C0B">
        <w:rPr>
          <w:rFonts w:ascii="Century" w:eastAsiaTheme="minorEastAsia" w:hAnsi="Century"/>
          <w:sz w:val="24"/>
          <w:szCs w:val="24"/>
        </w:rPr>
        <w:t>closeness, clustering coefficient, degree and LSCC</w:t>
      </w:r>
      <w:r>
        <w:rPr>
          <w:rFonts w:ascii="Century" w:eastAsiaTheme="minorEastAsia" w:hAnsi="Century"/>
          <w:sz w:val="24"/>
          <w:szCs w:val="24"/>
        </w:rPr>
        <w:t xml:space="preserve">) </w:t>
      </w:r>
      <w:r w:rsidR="00433C0B">
        <w:rPr>
          <w:rFonts w:ascii="Century" w:eastAsiaTheme="minorEastAsia" w:hAnsi="Century"/>
          <w:sz w:val="24"/>
          <w:szCs w:val="24"/>
        </w:rPr>
        <w:t xml:space="preserve">on day </w:t>
      </w:r>
      <w:r w:rsidR="00433C0B" w:rsidRPr="00433C0B">
        <w:rPr>
          <w:rFonts w:ascii="Century" w:eastAsiaTheme="minorEastAsia" w:hAnsi="Century"/>
          <w:i/>
          <w:sz w:val="24"/>
          <w:szCs w:val="24"/>
        </w:rPr>
        <w:t>t</w:t>
      </w:r>
      <w:r>
        <w:rPr>
          <w:rFonts w:ascii="Century" w:eastAsiaTheme="minorEastAsia" w:hAnsi="Century"/>
          <w:sz w:val="24"/>
          <w:szCs w:val="24"/>
        </w:rPr>
        <w:t xml:space="preserve">, </w:t>
      </w:r>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t</m:t>
            </m:r>
          </m:sub>
        </m:sSub>
      </m:oMath>
      <w:r>
        <w:rPr>
          <w:rFonts w:ascii="Century" w:eastAsiaTheme="minorEastAsia" w:hAnsi="Century"/>
          <w:sz w:val="24"/>
          <w:szCs w:val="24"/>
        </w:rPr>
        <w:t xml:space="preserve"> is </w:t>
      </w:r>
      <w:r w:rsidR="00490DBB">
        <w:rPr>
          <w:rFonts w:ascii="Century" w:eastAsiaTheme="minorEastAsia" w:hAnsi="Century"/>
          <w:sz w:val="24"/>
          <w:szCs w:val="24"/>
        </w:rPr>
        <w:t xml:space="preserve">the </w:t>
      </w:r>
      <w:r>
        <w:rPr>
          <w:rFonts w:ascii="Century" w:eastAsiaTheme="minorEastAsia" w:hAnsi="Century"/>
          <w:sz w:val="24"/>
          <w:szCs w:val="24"/>
        </w:rPr>
        <w:t xml:space="preserve">economic uncertainty </w:t>
      </w:r>
      <w:r w:rsidR="00490DBB">
        <w:rPr>
          <w:rFonts w:ascii="Century" w:eastAsiaTheme="minorEastAsia" w:hAnsi="Century"/>
          <w:sz w:val="24"/>
          <w:szCs w:val="24"/>
        </w:rPr>
        <w:t xml:space="preserve">index </w:t>
      </w:r>
      <w:r>
        <w:rPr>
          <w:rFonts w:ascii="Century" w:eastAsiaTheme="minorEastAsia" w:hAnsi="Century"/>
          <w:sz w:val="24"/>
          <w:szCs w:val="24"/>
        </w:rPr>
        <w:t xml:space="preserve">and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t</m:t>
            </m:r>
          </m:sub>
        </m:sSub>
      </m:oMath>
      <w:r>
        <w:rPr>
          <w:rFonts w:ascii="Century" w:eastAsiaTheme="minorEastAsia" w:hAnsi="Century"/>
          <w:sz w:val="24"/>
          <w:szCs w:val="24"/>
        </w:rPr>
        <w:t xml:space="preserve"> the economic surprise </w:t>
      </w:r>
      <w:r w:rsidR="00133EFA">
        <w:rPr>
          <w:rFonts w:ascii="Century" w:eastAsiaTheme="minorEastAsia" w:hAnsi="Century"/>
          <w:sz w:val="24"/>
          <w:szCs w:val="24"/>
        </w:rPr>
        <w:t>index</w:t>
      </w:r>
      <w:r>
        <w:rPr>
          <w:rFonts w:ascii="Century" w:eastAsiaTheme="minorEastAsia" w:hAnsi="Century"/>
          <w:sz w:val="24"/>
          <w:szCs w:val="24"/>
        </w:rPr>
        <w:t xml:space="preserve"> from Scotti (2013),</w:t>
      </w:r>
      <m:oMath>
        <m:r>
          <w:rPr>
            <w:rFonts w:ascii="Cambria Math" w:hAnsi="Cambria Math"/>
            <w:sz w:val="24"/>
            <w:szCs w:val="24"/>
          </w:rPr>
          <m:t xml:space="preserve"> DJS</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m:t>
            </m:r>
          </m:sub>
        </m:sSub>
      </m:oMath>
      <w:r w:rsidR="00B61FFE">
        <w:rPr>
          <w:rFonts w:ascii="Century" w:eastAsiaTheme="minorEastAsia" w:hAnsi="Century"/>
          <w:sz w:val="24"/>
          <w:szCs w:val="24"/>
        </w:rPr>
        <w:t xml:space="preserve"> is </w:t>
      </w:r>
      <w:r w:rsidR="004F0225">
        <w:rPr>
          <w:rFonts w:ascii="Century" w:eastAsiaTheme="minorEastAsia" w:hAnsi="Century"/>
          <w:sz w:val="24"/>
          <w:szCs w:val="24"/>
        </w:rPr>
        <w:t xml:space="preserve">the </w:t>
      </w:r>
      <w:r w:rsidR="00BF5A7A" w:rsidRPr="00BF5A7A">
        <w:rPr>
          <w:rFonts w:ascii="Century" w:eastAsiaTheme="minorEastAsia" w:hAnsi="Century"/>
          <w:sz w:val="24"/>
          <w:szCs w:val="24"/>
        </w:rPr>
        <w:t>DJ E</w:t>
      </w:r>
      <w:r w:rsidR="00BF5A7A">
        <w:rPr>
          <w:rFonts w:ascii="Century" w:eastAsiaTheme="minorEastAsia" w:hAnsi="Century"/>
          <w:sz w:val="24"/>
          <w:szCs w:val="24"/>
        </w:rPr>
        <w:t>urope</w:t>
      </w:r>
      <w:r w:rsidR="00BF5A7A" w:rsidRPr="00BF5A7A">
        <w:rPr>
          <w:rFonts w:ascii="Century" w:eastAsiaTheme="minorEastAsia" w:hAnsi="Century"/>
          <w:sz w:val="24"/>
          <w:szCs w:val="24"/>
        </w:rPr>
        <w:t xml:space="preserve"> </w:t>
      </w:r>
      <w:r w:rsidR="00BF5A7A">
        <w:rPr>
          <w:rFonts w:ascii="Century" w:eastAsiaTheme="minorEastAsia" w:hAnsi="Century"/>
          <w:sz w:val="24"/>
          <w:szCs w:val="24"/>
        </w:rPr>
        <w:t>stock index</w:t>
      </w:r>
      <w:r w:rsidR="00B61FFE">
        <w:rPr>
          <w:rFonts w:ascii="Century" w:eastAsiaTheme="minorEastAsia" w:hAnsi="Century"/>
          <w:sz w:val="24"/>
          <w:szCs w:val="24"/>
        </w:rPr>
        <w:t xml:space="preserve">, </w:t>
      </w:r>
      <m:oMath>
        <m:r>
          <w:rPr>
            <w:rFonts w:ascii="Cambria Math" w:hAnsi="Cambria Math"/>
            <w:sz w:val="24"/>
            <w:szCs w:val="24"/>
          </w:rPr>
          <m:t>EONI</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t</m:t>
            </m:r>
          </m:sub>
        </m:sSub>
      </m:oMath>
      <w:r w:rsidR="00B61FFE">
        <w:rPr>
          <w:rFonts w:ascii="Century" w:eastAsiaTheme="minorEastAsia" w:hAnsi="Century"/>
          <w:sz w:val="24"/>
          <w:szCs w:val="24"/>
        </w:rPr>
        <w:t xml:space="preserve"> is </w:t>
      </w:r>
      <w:r w:rsidR="00B620B1">
        <w:rPr>
          <w:rFonts w:ascii="Century" w:eastAsiaTheme="minorEastAsia" w:hAnsi="Century"/>
          <w:sz w:val="24"/>
          <w:szCs w:val="24"/>
        </w:rPr>
        <w:t xml:space="preserve">the </w:t>
      </w:r>
      <w:r w:rsidR="00963A54">
        <w:rPr>
          <w:rStyle w:val="st"/>
        </w:rPr>
        <w:t>Euro OverNight Index Average</w:t>
      </w:r>
      <w:r w:rsidR="00B61FFE">
        <w:rPr>
          <w:rFonts w:ascii="Century" w:eastAsiaTheme="minorEastAsia" w:hAnsi="Century"/>
          <w:sz w:val="24"/>
          <w:szCs w:val="24"/>
        </w:rPr>
        <w:t xml:space="preserve">, </w:t>
      </w:r>
      <m:oMath>
        <m:r>
          <w:rPr>
            <w:rFonts w:ascii="Cambria Math" w:hAnsi="Cambria Math"/>
            <w:sz w:val="24"/>
            <w:szCs w:val="24"/>
          </w:rPr>
          <m:t>LTR</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t</m:t>
            </m:r>
          </m:sub>
        </m:sSub>
      </m:oMath>
      <w:r>
        <w:rPr>
          <w:rFonts w:ascii="Century" w:eastAsiaTheme="minorEastAsia" w:hAnsi="Century"/>
          <w:sz w:val="24"/>
          <w:szCs w:val="24"/>
        </w:rPr>
        <w:t xml:space="preserve"> is a dummy for ECB</w:t>
      </w:r>
      <w:r w:rsidRPr="00433C0B">
        <w:rPr>
          <w:rFonts w:eastAsiaTheme="minorEastAsia"/>
          <w:sz w:val="24"/>
          <w:szCs w:val="24"/>
        </w:rPr>
        <w:t xml:space="preserve"> </w:t>
      </w:r>
      <w:r w:rsidRPr="00433C0B">
        <w:rPr>
          <w:sz w:val="24"/>
          <w:szCs w:val="24"/>
        </w:rPr>
        <w:t>Long Term Refinancing Operations</w:t>
      </w:r>
      <w:r w:rsidRPr="00433C0B">
        <w:rPr>
          <w:rFonts w:eastAsiaTheme="minorEastAsia"/>
          <w:sz w:val="24"/>
          <w:szCs w:val="24"/>
        </w:rPr>
        <w:t xml:space="preserve">, </w:t>
      </w:r>
      <m:oMath>
        <m:r>
          <w:rPr>
            <w:rFonts w:ascii="Cambria Math" w:hAnsi="Cambria Math"/>
            <w:sz w:val="24"/>
            <w:szCs w:val="24"/>
          </w:rPr>
          <m:t>MR</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t</m:t>
            </m:r>
          </m:sub>
        </m:sSub>
      </m:oMath>
      <w:r w:rsidRPr="00433C0B">
        <w:rPr>
          <w:rFonts w:eastAsiaTheme="minorEastAsia"/>
          <w:sz w:val="24"/>
          <w:szCs w:val="24"/>
        </w:rPr>
        <w:t xml:space="preserve"> is a dummy for ECB </w:t>
      </w:r>
      <w:r w:rsidRPr="00433C0B">
        <w:rPr>
          <w:sz w:val="24"/>
          <w:szCs w:val="24"/>
        </w:rPr>
        <w:t>Main Refinancing Operations</w:t>
      </w:r>
      <w:r w:rsidRPr="00433C0B">
        <w:rPr>
          <w:rFonts w:eastAsiaTheme="minorEastAsia"/>
          <w:sz w:val="24"/>
          <w:szCs w:val="24"/>
        </w:rPr>
        <w:t>,</w:t>
      </w:r>
      <w:r>
        <w:rPr>
          <w:rFonts w:ascii="Century" w:eastAsiaTheme="minorEastAsia" w:hAnsi="Century"/>
          <w:sz w:val="24"/>
          <w:szCs w:val="24"/>
        </w:rPr>
        <w:t xml:space="preserve"> </w:t>
      </w:r>
      <m:oMath>
        <m:r>
          <w:rPr>
            <w:rFonts w:ascii="Cambria Math" w:hAnsi="Cambria Math"/>
            <w:sz w:val="24"/>
            <w:szCs w:val="24"/>
          </w:rPr>
          <m:t>O</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m:t>
            </m:r>
          </m:sub>
        </m:sSub>
      </m:oMath>
      <w:r>
        <w:rPr>
          <w:rFonts w:ascii="Century" w:eastAsiaTheme="minorEastAsia" w:hAnsi="Century"/>
          <w:sz w:val="24"/>
          <w:szCs w:val="24"/>
        </w:rPr>
        <w:t xml:space="preserve"> is a dummy for Other Type </w:t>
      </w:r>
      <w:r w:rsidRPr="00470A22">
        <w:rPr>
          <w:rFonts w:eastAsiaTheme="minorEastAsia"/>
          <w:sz w:val="24"/>
          <w:szCs w:val="24"/>
        </w:rPr>
        <w:t>of ECB operations</w:t>
      </w:r>
      <w:r w:rsidR="007336CB">
        <w:rPr>
          <w:rFonts w:eastAsiaTheme="minorEastAsia"/>
          <w:sz w:val="24"/>
          <w:szCs w:val="24"/>
        </w:rPr>
        <w:t xml:space="preserve">, and </w:t>
      </w:r>
      <m:oMath>
        <m:sSub>
          <m:sSubPr>
            <m:ctrlPr>
              <w:rPr>
                <w:rFonts w:ascii="Cambria Math" w:eastAsiaTheme="minorEastAsia" w:hAnsi="Cambria Math"/>
                <w:i/>
                <w:sz w:val="24"/>
                <w:szCs w:val="24"/>
              </w:rPr>
            </m:ctrlPr>
          </m:sSubPr>
          <m:e>
            <m:r>
              <w:rPr>
                <w:rFonts w:ascii="Cambria Math" w:eastAsiaTheme="minorEastAsia" w:hAnsi="Cambria Math"/>
                <w:sz w:val="24"/>
                <w:szCs w:val="24"/>
              </w:rPr>
              <m:t>Announcements</m:t>
            </m:r>
          </m:e>
          <m:sub>
            <m:r>
              <w:rPr>
                <w:rFonts w:ascii="Cambria Math" w:eastAsiaTheme="minorEastAsia" w:hAnsi="Cambria Math"/>
                <w:sz w:val="24"/>
                <w:szCs w:val="24"/>
              </w:rPr>
              <m:t>t</m:t>
            </m:r>
          </m:sub>
        </m:sSub>
      </m:oMath>
      <w:r w:rsidR="0086493A">
        <w:rPr>
          <w:rFonts w:eastAsiaTheme="minorEastAsia"/>
          <w:sz w:val="24"/>
          <w:szCs w:val="24"/>
        </w:rPr>
        <w:t xml:space="preserve"> is a dummy variable which captures both conventional and unconventional ECB intervention</w:t>
      </w:r>
      <w:r w:rsidR="00507CD4">
        <w:rPr>
          <w:rFonts w:eastAsiaTheme="minorEastAsia"/>
          <w:sz w:val="24"/>
          <w:szCs w:val="24"/>
        </w:rPr>
        <w:t xml:space="preserve"> announcements</w:t>
      </w:r>
      <w:r w:rsidRPr="00470A22">
        <w:rPr>
          <w:rFonts w:eastAsiaTheme="minorEastAsia"/>
          <w:sz w:val="24"/>
          <w:szCs w:val="24"/>
        </w:rPr>
        <w:t>.</w:t>
      </w:r>
      <w:r w:rsidR="00015174">
        <w:rPr>
          <w:rStyle w:val="FootnoteReference"/>
          <w:rFonts w:eastAsiaTheme="minorEastAsia"/>
          <w:sz w:val="24"/>
          <w:szCs w:val="24"/>
        </w:rPr>
        <w:footnoteReference w:id="22"/>
      </w:r>
      <w:r w:rsidR="00BF5A7A">
        <w:rPr>
          <w:rFonts w:eastAsiaTheme="minor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t</m:t>
            </m:r>
          </m:sub>
        </m:sSub>
      </m:oMath>
      <w:r w:rsidR="00BF5A7A">
        <w:rPr>
          <w:rFonts w:eastAsiaTheme="minor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t</m:t>
            </m:r>
          </m:sub>
        </m:sSub>
      </m:oMath>
      <w:r w:rsidR="00BF5A7A">
        <w:rPr>
          <w:rFonts w:eastAsiaTheme="minorEastAsia"/>
          <w:sz w:val="24"/>
          <w:szCs w:val="24"/>
        </w:rPr>
        <w:t>,</w:t>
      </w:r>
      <w:r w:rsidR="00BF5A7A">
        <w:rPr>
          <w:rFonts w:ascii="Century" w:eastAsiaTheme="minorEastAsia" w:hAnsi="Century"/>
          <w:sz w:val="24"/>
          <w:szCs w:val="24"/>
        </w:rPr>
        <w:t xml:space="preserve"> </w:t>
      </w:r>
      <m:oMath>
        <m:r>
          <w:rPr>
            <w:rFonts w:ascii="Cambria Math" w:hAnsi="Cambria Math"/>
            <w:sz w:val="24"/>
            <w:szCs w:val="24"/>
          </w:rPr>
          <m:t>DJS</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m:t>
            </m:r>
          </m:sub>
        </m:sSub>
      </m:oMath>
      <w:r w:rsidR="00BF5A7A">
        <w:rPr>
          <w:rFonts w:eastAsiaTheme="minorEastAsia"/>
          <w:sz w:val="24"/>
          <w:szCs w:val="24"/>
        </w:rPr>
        <w:t xml:space="preserve"> and </w:t>
      </w:r>
      <m:oMath>
        <m:r>
          <w:rPr>
            <w:rFonts w:ascii="Cambria Math" w:hAnsi="Cambria Math"/>
            <w:sz w:val="24"/>
            <w:szCs w:val="24"/>
          </w:rPr>
          <m:t>EONI</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t</m:t>
            </m:r>
          </m:sub>
        </m:sSub>
      </m:oMath>
      <w:r w:rsidR="00BF5A7A">
        <w:rPr>
          <w:rFonts w:eastAsiaTheme="minorEastAsia"/>
          <w:sz w:val="24"/>
          <w:szCs w:val="24"/>
        </w:rPr>
        <w:t xml:space="preserve"> are proxies for fundamentals </w:t>
      </w:r>
      <w:r w:rsidR="00394E9D">
        <w:rPr>
          <w:rFonts w:eastAsiaTheme="minorEastAsia"/>
          <w:sz w:val="24"/>
          <w:szCs w:val="24"/>
        </w:rPr>
        <w:t>shocks</w:t>
      </w:r>
      <w:r w:rsidR="00BF5A7A">
        <w:rPr>
          <w:rFonts w:eastAsiaTheme="minorEastAsia"/>
          <w:sz w:val="24"/>
          <w:szCs w:val="24"/>
        </w:rPr>
        <w:t xml:space="preserve"> in the economy</w:t>
      </w:r>
      <w:r w:rsidR="00394E9D">
        <w:rPr>
          <w:rFonts w:eastAsiaTheme="minorEastAsia"/>
          <w:sz w:val="24"/>
          <w:szCs w:val="24"/>
        </w:rPr>
        <w:t xml:space="preserve"> while </w:t>
      </w:r>
      <m:oMath>
        <m:r>
          <w:rPr>
            <w:rFonts w:ascii="Cambria Math" w:hAnsi="Cambria Math"/>
            <w:sz w:val="24"/>
            <w:szCs w:val="24"/>
          </w:rPr>
          <m:t>LTR</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t</m:t>
            </m:r>
          </m:sub>
        </m:sSub>
      </m:oMath>
      <w:r w:rsidR="00394E9D">
        <w:rPr>
          <w:rFonts w:eastAsiaTheme="minorEastAsia"/>
          <w:sz w:val="24"/>
          <w:szCs w:val="24"/>
        </w:rPr>
        <w:t xml:space="preserve">, </w:t>
      </w:r>
      <m:oMath>
        <m:r>
          <w:rPr>
            <w:rFonts w:ascii="Cambria Math" w:hAnsi="Cambria Math"/>
            <w:sz w:val="24"/>
            <w:szCs w:val="24"/>
          </w:rPr>
          <m:t>MR</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t</m:t>
            </m:r>
          </m:sub>
        </m:sSub>
      </m:oMath>
      <w:r w:rsidR="00015174">
        <w:rPr>
          <w:rFonts w:eastAsiaTheme="minorEastAsia"/>
          <w:sz w:val="24"/>
          <w:szCs w:val="24"/>
        </w:rPr>
        <w:t>,</w:t>
      </w:r>
      <w:r w:rsidR="00394E9D">
        <w:rPr>
          <w:rFonts w:eastAsiaTheme="minorEastAsia"/>
          <w:sz w:val="24"/>
          <w:szCs w:val="24"/>
        </w:rPr>
        <w:t xml:space="preserve"> </w:t>
      </w:r>
      <m:oMath>
        <m:r>
          <w:rPr>
            <w:rFonts w:ascii="Cambria Math" w:hAnsi="Cambria Math"/>
            <w:sz w:val="24"/>
            <w:szCs w:val="24"/>
          </w:rPr>
          <m:t>O</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m:t>
            </m:r>
          </m:sub>
        </m:sSub>
      </m:oMath>
      <w:r w:rsidR="00DE5E97">
        <w:rPr>
          <w:rFonts w:eastAsiaTheme="minorEastAsia"/>
          <w:sz w:val="24"/>
          <w:szCs w:val="24"/>
        </w:rPr>
        <w:t xml:space="preserve"> and</w:t>
      </w:r>
      <w:r w:rsidR="00394E9D">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Announcements</m:t>
            </m:r>
          </m:e>
          <m:sub>
            <m:r>
              <w:rPr>
                <w:rFonts w:ascii="Cambria Math" w:eastAsiaTheme="minorEastAsia" w:hAnsi="Cambria Math"/>
                <w:sz w:val="24"/>
                <w:szCs w:val="24"/>
              </w:rPr>
              <m:t>t</m:t>
            </m:r>
          </m:sub>
        </m:sSub>
      </m:oMath>
      <w:r w:rsidR="00DE5E97">
        <w:rPr>
          <w:rFonts w:eastAsiaTheme="minorEastAsia"/>
          <w:sz w:val="24"/>
          <w:szCs w:val="24"/>
        </w:rPr>
        <w:t xml:space="preserve"> </w:t>
      </w:r>
      <w:r w:rsidR="00394E9D">
        <w:rPr>
          <w:rFonts w:eastAsiaTheme="minorEastAsia"/>
          <w:sz w:val="24"/>
          <w:szCs w:val="24"/>
        </w:rPr>
        <w:t>captures monetary policy shocks.</w:t>
      </w:r>
    </w:p>
    <w:p w14:paraId="33A713C2" w14:textId="39EDEB1D" w:rsidR="00BF57C7" w:rsidRPr="00B40886" w:rsidRDefault="00792CFC" w:rsidP="00DC256D">
      <w:pPr>
        <w:spacing w:line="480" w:lineRule="auto"/>
        <w:ind w:firstLine="720"/>
        <w:jc w:val="both"/>
        <w:rPr>
          <w:sz w:val="24"/>
          <w:szCs w:val="24"/>
        </w:rPr>
      </w:pPr>
      <w:r w:rsidRPr="00B40886">
        <w:rPr>
          <w:sz w:val="24"/>
          <w:szCs w:val="24"/>
        </w:rPr>
        <w:t xml:space="preserve">Figure </w:t>
      </w:r>
      <w:r w:rsidR="00323CFF">
        <w:rPr>
          <w:sz w:val="24"/>
          <w:szCs w:val="24"/>
        </w:rPr>
        <w:t>5</w:t>
      </w:r>
      <w:r w:rsidRPr="00B40886">
        <w:rPr>
          <w:sz w:val="24"/>
          <w:szCs w:val="24"/>
        </w:rPr>
        <w:t xml:space="preserve"> shows the </w:t>
      </w: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 xml:space="preserve"> </m:t>
        </m:r>
      </m:oMath>
      <w:r w:rsidRPr="00B40886">
        <w:rPr>
          <w:rFonts w:eastAsiaTheme="minorEastAsia"/>
          <w:sz w:val="24"/>
          <w:szCs w:val="24"/>
        </w:rPr>
        <w:t xml:space="preserve">for each </w:t>
      </w:r>
      <w:r w:rsidR="00DC256D">
        <w:rPr>
          <w:rFonts w:eastAsiaTheme="minorEastAsia"/>
          <w:sz w:val="24"/>
          <w:szCs w:val="24"/>
        </w:rPr>
        <w:t>network type</w:t>
      </w:r>
      <w:r w:rsidRPr="00B40886">
        <w:rPr>
          <w:rFonts w:eastAsiaTheme="minorEastAsia"/>
          <w:sz w:val="24"/>
          <w:szCs w:val="24"/>
        </w:rPr>
        <w:t>, over all dependent variables and forecasting horizons</w:t>
      </w:r>
      <w:r w:rsidR="00BF5A7A" w:rsidRPr="00B40886">
        <w:rPr>
          <w:rFonts w:eastAsiaTheme="minorEastAsia"/>
          <w:sz w:val="24"/>
          <w:szCs w:val="24"/>
        </w:rPr>
        <w:t xml:space="preserve">, </w:t>
      </w:r>
      <w:r w:rsidR="00BF5A7A" w:rsidRPr="00B40886">
        <w:rPr>
          <w:rFonts w:eastAsiaTheme="minorEastAsia"/>
          <w:i/>
          <w:sz w:val="24"/>
          <w:szCs w:val="24"/>
        </w:rPr>
        <w:t>k</w:t>
      </w:r>
      <w:r w:rsidR="00DE5E97">
        <w:rPr>
          <w:rFonts w:eastAsiaTheme="minorEastAsia"/>
          <w:sz w:val="24"/>
          <w:szCs w:val="24"/>
        </w:rPr>
        <w:t>, for equation (12).</w:t>
      </w:r>
      <w:r w:rsidR="00DE5E97">
        <w:rPr>
          <w:rStyle w:val="FootnoteReference"/>
          <w:rFonts w:eastAsiaTheme="minorEastAsia"/>
          <w:sz w:val="24"/>
          <w:szCs w:val="24"/>
        </w:rPr>
        <w:footnoteReference w:id="23"/>
      </w:r>
      <w:r w:rsidR="00ED44A3" w:rsidRPr="00B40886">
        <w:rPr>
          <w:rFonts w:eastAsiaTheme="minorEastAsia"/>
          <w:sz w:val="24"/>
          <w:szCs w:val="24"/>
        </w:rPr>
        <w:t xml:space="preserve"> </w:t>
      </w:r>
      <w:r w:rsidR="00DE5E97">
        <w:rPr>
          <w:rFonts w:eastAsiaTheme="minorEastAsia"/>
          <w:sz w:val="24"/>
          <w:szCs w:val="24"/>
        </w:rPr>
        <w:t>With the exception of the last row (LSCC), it seems that both network</w:t>
      </w:r>
      <w:r w:rsidR="00013CD6">
        <w:rPr>
          <w:rFonts w:eastAsiaTheme="minorEastAsia"/>
          <w:sz w:val="24"/>
          <w:szCs w:val="24"/>
        </w:rPr>
        <w:t>s</w:t>
      </w:r>
      <w:r w:rsidR="00DE5E97">
        <w:rPr>
          <w:rFonts w:eastAsiaTheme="minorEastAsia"/>
          <w:sz w:val="24"/>
          <w:szCs w:val="24"/>
        </w:rPr>
        <w:t xml:space="preserve"> capture the same information before the crisis. However, </w:t>
      </w:r>
      <w:r w:rsidR="00DE5E97">
        <w:rPr>
          <w:sz w:val="24"/>
          <w:szCs w:val="24"/>
        </w:rPr>
        <w:t>t</w:t>
      </w:r>
      <w:r w:rsidR="00BF57C7" w:rsidRPr="00B40886">
        <w:rPr>
          <w:sz w:val="24"/>
          <w:szCs w:val="24"/>
        </w:rPr>
        <w:t xml:space="preserve">here is a clear pattern </w:t>
      </w:r>
      <w:r w:rsidR="004C565F" w:rsidRPr="00B40886">
        <w:rPr>
          <w:sz w:val="24"/>
          <w:szCs w:val="24"/>
        </w:rPr>
        <w:t xml:space="preserve">showing that the physical network </w:t>
      </w:r>
      <w:r w:rsidR="00DC256D">
        <w:rPr>
          <w:sz w:val="24"/>
          <w:szCs w:val="24"/>
        </w:rPr>
        <w:t xml:space="preserve">reacts </w:t>
      </w:r>
      <w:r w:rsidR="004C565F" w:rsidRPr="00B40886">
        <w:rPr>
          <w:sz w:val="24"/>
          <w:szCs w:val="24"/>
        </w:rPr>
        <w:t xml:space="preserve">more </w:t>
      </w:r>
      <w:r w:rsidR="003F1B30" w:rsidRPr="00B40886">
        <w:rPr>
          <w:sz w:val="24"/>
          <w:szCs w:val="24"/>
        </w:rPr>
        <w:t>to</w:t>
      </w:r>
      <w:r w:rsidR="004C565F" w:rsidRPr="00B40886">
        <w:rPr>
          <w:sz w:val="24"/>
          <w:szCs w:val="24"/>
        </w:rPr>
        <w:t xml:space="preserve"> ECB interventions and macro-economic </w:t>
      </w:r>
      <w:r w:rsidR="003F1B30" w:rsidRPr="00B40886">
        <w:rPr>
          <w:sz w:val="24"/>
          <w:szCs w:val="24"/>
        </w:rPr>
        <w:t>shocks</w:t>
      </w:r>
      <w:r w:rsidR="00DE5E97">
        <w:rPr>
          <w:sz w:val="24"/>
          <w:szCs w:val="24"/>
        </w:rPr>
        <w:t xml:space="preserve"> during the crisis and </w:t>
      </w:r>
      <w:r w:rsidR="00DC256D">
        <w:rPr>
          <w:sz w:val="24"/>
          <w:szCs w:val="24"/>
        </w:rPr>
        <w:t>following</w:t>
      </w:r>
      <w:r w:rsidR="004C565F" w:rsidRPr="00B40886">
        <w:rPr>
          <w:sz w:val="24"/>
          <w:szCs w:val="24"/>
        </w:rPr>
        <w:t xml:space="preserve">. </w:t>
      </w:r>
    </w:p>
    <w:p w14:paraId="39DE7898" w14:textId="73DC6F83" w:rsidR="00792CFC" w:rsidRDefault="009A34DC" w:rsidP="00B620B1">
      <w:pPr>
        <w:spacing w:line="480" w:lineRule="auto"/>
        <w:ind w:firstLine="720"/>
        <w:jc w:val="both"/>
        <w:rPr>
          <w:sz w:val="24"/>
          <w:szCs w:val="24"/>
        </w:rPr>
      </w:pPr>
      <w:r w:rsidRPr="004D4876">
        <w:rPr>
          <w:sz w:val="24"/>
          <w:szCs w:val="24"/>
        </w:rPr>
        <w:t xml:space="preserve">Figure </w:t>
      </w:r>
      <w:r w:rsidR="00323CFF">
        <w:rPr>
          <w:sz w:val="24"/>
          <w:szCs w:val="24"/>
        </w:rPr>
        <w:t>6</w:t>
      </w:r>
      <w:r w:rsidRPr="004D4876">
        <w:rPr>
          <w:sz w:val="24"/>
          <w:szCs w:val="24"/>
        </w:rPr>
        <w:t xml:space="preserve"> shows the estimated coefficients for the regression</w:t>
      </w:r>
      <w:r w:rsidR="00323CFF">
        <w:rPr>
          <w:sz w:val="24"/>
          <w:szCs w:val="24"/>
        </w:rPr>
        <w:t>s</w:t>
      </w:r>
      <w:r w:rsidR="003F1B30" w:rsidRPr="004D4876">
        <w:rPr>
          <w:sz w:val="24"/>
          <w:szCs w:val="24"/>
        </w:rPr>
        <w:t xml:space="preserve"> in equation (12)</w:t>
      </w:r>
      <w:r w:rsidRPr="004D4876">
        <w:rPr>
          <w:sz w:val="24"/>
          <w:szCs w:val="24"/>
        </w:rPr>
        <w:t xml:space="preserve">. </w:t>
      </w:r>
      <w:r w:rsidR="004D4876">
        <w:rPr>
          <w:sz w:val="24"/>
          <w:szCs w:val="24"/>
        </w:rPr>
        <w:t>T</w:t>
      </w:r>
      <w:r w:rsidRPr="004D4876">
        <w:rPr>
          <w:sz w:val="24"/>
          <w:szCs w:val="24"/>
        </w:rPr>
        <w:t>he correlation network</w:t>
      </w:r>
      <w:r w:rsidR="004D4876">
        <w:rPr>
          <w:sz w:val="24"/>
          <w:szCs w:val="24"/>
        </w:rPr>
        <w:t xml:space="preserve"> react</w:t>
      </w:r>
      <w:r w:rsidR="00B620B1">
        <w:rPr>
          <w:sz w:val="24"/>
          <w:szCs w:val="24"/>
        </w:rPr>
        <w:t>s</w:t>
      </w:r>
      <w:r w:rsidR="004D4876">
        <w:rPr>
          <w:sz w:val="24"/>
          <w:szCs w:val="24"/>
        </w:rPr>
        <w:t xml:space="preserve"> to shocks captured by </w:t>
      </w:r>
      <w:r w:rsidRPr="004D4876">
        <w:rPr>
          <w:sz w:val="24"/>
          <w:szCs w:val="24"/>
        </w:rPr>
        <w:t>the</w:t>
      </w:r>
      <w:r w:rsidR="004D4876">
        <w:rPr>
          <w:sz w:val="24"/>
          <w:szCs w:val="24"/>
        </w:rPr>
        <w:t xml:space="preserve"> </w:t>
      </w:r>
      <m:oMath>
        <m:r>
          <w:rPr>
            <w:rFonts w:ascii="Cambria Math" w:hAnsi="Cambria Math"/>
            <w:sz w:val="24"/>
            <w:szCs w:val="24"/>
          </w:rPr>
          <m:t>EONI</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t</m:t>
            </m:r>
          </m:sub>
        </m:sSub>
        <m:r>
          <w:rPr>
            <w:rFonts w:ascii="Cambria Math" w:hAnsi="Cambria Math"/>
            <w:sz w:val="24"/>
            <w:szCs w:val="24"/>
          </w:rPr>
          <m:t xml:space="preserve"> </m:t>
        </m:r>
      </m:oMath>
      <w:r w:rsidR="00FA0A4A">
        <w:rPr>
          <w:sz w:val="24"/>
          <w:szCs w:val="24"/>
        </w:rPr>
        <w:t xml:space="preserve">which plays </w:t>
      </w:r>
      <w:r w:rsidR="004D4876">
        <w:rPr>
          <w:sz w:val="24"/>
          <w:szCs w:val="24"/>
        </w:rPr>
        <w:t>an important role in explaining the structure of the correlation network</w:t>
      </w:r>
      <w:r w:rsidR="00FA0A4A">
        <w:rPr>
          <w:sz w:val="24"/>
          <w:szCs w:val="24"/>
        </w:rPr>
        <w:t xml:space="preserve"> in all sub-periods</w:t>
      </w:r>
      <w:r w:rsidR="004D4876">
        <w:rPr>
          <w:sz w:val="24"/>
          <w:szCs w:val="24"/>
        </w:rPr>
        <w:t xml:space="preserve">. </w:t>
      </w:r>
      <w:r w:rsidR="00FA0A4A">
        <w:rPr>
          <w:sz w:val="24"/>
          <w:szCs w:val="24"/>
        </w:rPr>
        <w:t>EONIA and the u</w:t>
      </w:r>
      <w:r w:rsidRPr="004D4876">
        <w:rPr>
          <w:sz w:val="24"/>
          <w:szCs w:val="24"/>
        </w:rPr>
        <w:t xml:space="preserve">ncertainty </w:t>
      </w:r>
      <w:r w:rsidR="00FA0A4A">
        <w:rPr>
          <w:sz w:val="24"/>
          <w:szCs w:val="24"/>
        </w:rPr>
        <w:t>index are</w:t>
      </w:r>
      <w:r w:rsidR="00323CFF">
        <w:rPr>
          <w:sz w:val="24"/>
          <w:szCs w:val="24"/>
        </w:rPr>
        <w:t xml:space="preserve"> </w:t>
      </w:r>
      <w:r w:rsidR="00FA0A4A">
        <w:rPr>
          <w:sz w:val="24"/>
          <w:szCs w:val="24"/>
        </w:rPr>
        <w:t xml:space="preserve">the most </w:t>
      </w:r>
      <w:r w:rsidR="00323CFF">
        <w:rPr>
          <w:sz w:val="24"/>
          <w:szCs w:val="24"/>
        </w:rPr>
        <w:t>important factor</w:t>
      </w:r>
      <w:r w:rsidR="00FA0A4A">
        <w:rPr>
          <w:sz w:val="24"/>
          <w:szCs w:val="24"/>
        </w:rPr>
        <w:t>s</w:t>
      </w:r>
      <w:r w:rsidR="00323CFF">
        <w:rPr>
          <w:sz w:val="24"/>
          <w:szCs w:val="24"/>
        </w:rPr>
        <w:t xml:space="preserve"> in the physical network and </w:t>
      </w:r>
      <w:r w:rsidRPr="004D4876">
        <w:rPr>
          <w:sz w:val="24"/>
          <w:szCs w:val="24"/>
        </w:rPr>
        <w:t xml:space="preserve">seem so dominant that </w:t>
      </w:r>
      <w:r w:rsidR="00FA0A4A">
        <w:rPr>
          <w:sz w:val="24"/>
          <w:szCs w:val="24"/>
        </w:rPr>
        <w:t>they</w:t>
      </w:r>
      <w:r w:rsidRPr="004D4876">
        <w:rPr>
          <w:sz w:val="24"/>
          <w:szCs w:val="24"/>
        </w:rPr>
        <w:t xml:space="preserve"> </w:t>
      </w:r>
      <w:r w:rsidR="00E85CA2" w:rsidRPr="004D4876">
        <w:rPr>
          <w:sz w:val="24"/>
          <w:szCs w:val="24"/>
        </w:rPr>
        <w:t xml:space="preserve">overshadow </w:t>
      </w:r>
      <w:r w:rsidRPr="004D4876">
        <w:rPr>
          <w:sz w:val="24"/>
          <w:szCs w:val="24"/>
        </w:rPr>
        <w:t>the other variable effects.</w:t>
      </w:r>
      <w:r w:rsidR="00FA0A4A">
        <w:rPr>
          <w:rStyle w:val="FootnoteReference"/>
          <w:sz w:val="24"/>
          <w:szCs w:val="24"/>
        </w:rPr>
        <w:footnoteReference w:id="24"/>
      </w:r>
      <w:r w:rsidR="00472C61">
        <w:rPr>
          <w:sz w:val="24"/>
          <w:szCs w:val="24"/>
        </w:rPr>
        <w:t xml:space="preserve"> </w:t>
      </w:r>
      <w:r w:rsidR="00B620B1">
        <w:rPr>
          <w:sz w:val="24"/>
          <w:szCs w:val="24"/>
        </w:rPr>
        <w:t xml:space="preserve">This evidence is consistent with the </w:t>
      </w:r>
      <w:r w:rsidR="00472C61">
        <w:rPr>
          <w:sz w:val="24"/>
          <w:szCs w:val="24"/>
        </w:rPr>
        <w:t>vast literature</w:t>
      </w:r>
      <w:r w:rsidR="00323CFF" w:rsidRPr="00323CFF">
        <w:rPr>
          <w:sz w:val="24"/>
          <w:szCs w:val="24"/>
        </w:rPr>
        <w:t xml:space="preserve"> </w:t>
      </w:r>
      <w:r w:rsidR="00B620B1">
        <w:rPr>
          <w:sz w:val="24"/>
          <w:szCs w:val="24"/>
        </w:rPr>
        <w:t xml:space="preserve">showing that </w:t>
      </w:r>
      <w:r w:rsidR="00472C61">
        <w:rPr>
          <w:sz w:val="24"/>
          <w:szCs w:val="24"/>
        </w:rPr>
        <w:t xml:space="preserve">uncertainty </w:t>
      </w:r>
      <w:r w:rsidR="00B620B1">
        <w:rPr>
          <w:sz w:val="24"/>
          <w:szCs w:val="24"/>
        </w:rPr>
        <w:t xml:space="preserve">has important effects </w:t>
      </w:r>
      <w:r w:rsidR="00472C61">
        <w:rPr>
          <w:sz w:val="24"/>
          <w:szCs w:val="24"/>
        </w:rPr>
        <w:t>on the real economy.</w:t>
      </w:r>
      <w:r w:rsidR="00C14FB2">
        <w:rPr>
          <w:rStyle w:val="FootnoteReference"/>
          <w:sz w:val="24"/>
          <w:szCs w:val="24"/>
        </w:rPr>
        <w:footnoteReference w:id="25"/>
      </w:r>
      <w:r w:rsidR="00472C61">
        <w:rPr>
          <w:sz w:val="24"/>
          <w:szCs w:val="24"/>
        </w:rPr>
        <w:t xml:space="preserve"> </w:t>
      </w:r>
      <w:r w:rsidR="00B620B1">
        <w:rPr>
          <w:sz w:val="24"/>
          <w:szCs w:val="24"/>
        </w:rPr>
        <w:t xml:space="preserve">Our </w:t>
      </w:r>
      <w:r w:rsidR="00472C61">
        <w:rPr>
          <w:sz w:val="24"/>
          <w:szCs w:val="24"/>
        </w:rPr>
        <w:t xml:space="preserve">evidence </w:t>
      </w:r>
      <w:r w:rsidR="00B620B1">
        <w:rPr>
          <w:sz w:val="24"/>
          <w:szCs w:val="24"/>
        </w:rPr>
        <w:t xml:space="preserve">shows </w:t>
      </w:r>
      <w:r w:rsidR="00472C61">
        <w:rPr>
          <w:sz w:val="24"/>
          <w:szCs w:val="24"/>
        </w:rPr>
        <w:t>that the network structures we study react to uncertainty shocks as well.</w:t>
      </w:r>
    </w:p>
    <w:p w14:paraId="319F6B7C" w14:textId="4E8EBF94" w:rsidR="00F92E3A" w:rsidRPr="004D4876" w:rsidRDefault="00F92E3A" w:rsidP="00B620B1">
      <w:pPr>
        <w:spacing w:line="480" w:lineRule="auto"/>
        <w:ind w:firstLine="720"/>
        <w:jc w:val="both"/>
        <w:rPr>
          <w:sz w:val="24"/>
          <w:szCs w:val="24"/>
        </w:rPr>
      </w:pPr>
      <w:r>
        <w:rPr>
          <w:sz w:val="24"/>
          <w:szCs w:val="24"/>
        </w:rPr>
        <w:t xml:space="preserve">Indeed Figure 7 displays the partial </w:t>
      </w: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oMath>
      <w:r>
        <w:rPr>
          <w:rFonts w:eastAsiaTheme="minorEastAsia"/>
          <w:sz w:val="24"/>
          <w:szCs w:val="24"/>
        </w:rPr>
        <w:t xml:space="preserve">from equation (12) </w:t>
      </w:r>
      <w:r>
        <w:rPr>
          <w:sz w:val="24"/>
          <w:szCs w:val="24"/>
        </w:rPr>
        <w:t xml:space="preserve">related to the announcements alone (during the pre-crisis period, no announcement were made). Importantly, early in the crisis the incremental information impounded by the announcements, </w:t>
      </w:r>
      <w:r w:rsidR="003C3614">
        <w:rPr>
          <w:sz w:val="24"/>
          <w:szCs w:val="24"/>
        </w:rPr>
        <w:t>conditional on the general impact of macroeconomic factors</w:t>
      </w:r>
      <w:r>
        <w:rPr>
          <w:sz w:val="24"/>
          <w:szCs w:val="24"/>
        </w:rPr>
        <w:t xml:space="preserve">, is </w:t>
      </w:r>
      <w:r>
        <w:rPr>
          <w:sz w:val="24"/>
          <w:szCs w:val="24"/>
        </w:rPr>
        <w:lastRenderedPageBreak/>
        <w:t>contemporaneously reflected in the correlation network</w:t>
      </w:r>
      <w:r w:rsidR="003C3614">
        <w:rPr>
          <w:sz w:val="24"/>
          <w:szCs w:val="24"/>
        </w:rPr>
        <w:t xml:space="preserve">. This conditional impact is </w:t>
      </w:r>
      <w:r>
        <w:rPr>
          <w:sz w:val="24"/>
          <w:szCs w:val="24"/>
        </w:rPr>
        <w:t xml:space="preserve">reflected only with a lag in the physical network. However, the magnitude of the impact in the physical market is often significantly larger for the physical network. </w:t>
      </w:r>
    </w:p>
    <w:p w14:paraId="60FF0CB9" w14:textId="0DA642FD" w:rsidR="001F7327" w:rsidRDefault="002976A5" w:rsidP="00B620B1">
      <w:pPr>
        <w:spacing w:line="480" w:lineRule="auto"/>
        <w:ind w:firstLine="720"/>
        <w:jc w:val="both"/>
        <w:rPr>
          <w:sz w:val="24"/>
          <w:szCs w:val="24"/>
        </w:rPr>
      </w:pPr>
      <w:r>
        <w:rPr>
          <w:sz w:val="24"/>
          <w:szCs w:val="24"/>
        </w:rPr>
        <w:t xml:space="preserve">In </w:t>
      </w:r>
      <w:r w:rsidR="009A34DC" w:rsidRPr="002976A5">
        <w:rPr>
          <w:sz w:val="24"/>
          <w:szCs w:val="24"/>
        </w:rPr>
        <w:t xml:space="preserve">Figure </w:t>
      </w:r>
      <w:r w:rsidR="00F92E3A">
        <w:rPr>
          <w:sz w:val="24"/>
          <w:szCs w:val="24"/>
        </w:rPr>
        <w:t>8</w:t>
      </w:r>
      <w:r w:rsidR="009A34DC" w:rsidRPr="002976A5">
        <w:rPr>
          <w:sz w:val="24"/>
          <w:szCs w:val="24"/>
        </w:rPr>
        <w:t xml:space="preserve"> </w:t>
      </w:r>
      <w:r w:rsidR="003F1B30" w:rsidRPr="002976A5">
        <w:rPr>
          <w:sz w:val="24"/>
          <w:szCs w:val="24"/>
        </w:rPr>
        <w:t xml:space="preserve">we distinguish between macroeconomic shocks and monetary policy shocks (of course the two might be correlated) and formally test </w:t>
      </w:r>
      <w:r>
        <w:rPr>
          <w:sz w:val="24"/>
          <w:szCs w:val="24"/>
        </w:rPr>
        <w:t xml:space="preserve">whether the network structure of the correlation and of the physical networks react to </w:t>
      </w:r>
      <w:r w:rsidR="003F1B30" w:rsidRPr="002976A5">
        <w:rPr>
          <w:sz w:val="24"/>
          <w:szCs w:val="24"/>
        </w:rPr>
        <w:t>th</w:t>
      </w:r>
      <w:r>
        <w:rPr>
          <w:sz w:val="24"/>
          <w:szCs w:val="24"/>
        </w:rPr>
        <w:t>ese</w:t>
      </w:r>
      <w:r w:rsidR="003F1B30" w:rsidRPr="002976A5">
        <w:rPr>
          <w:sz w:val="24"/>
          <w:szCs w:val="24"/>
        </w:rPr>
        <w:t xml:space="preserve"> two types of shocks</w:t>
      </w:r>
      <w:r w:rsidR="00E85CA2" w:rsidRPr="002976A5">
        <w:rPr>
          <w:sz w:val="24"/>
          <w:szCs w:val="24"/>
        </w:rPr>
        <w:t xml:space="preserve">. </w:t>
      </w:r>
      <w:r>
        <w:rPr>
          <w:sz w:val="24"/>
          <w:szCs w:val="24"/>
        </w:rPr>
        <w:t xml:space="preserve">Our null hypotheses are that all macro shocks have no effect on the network structure (i.e. the coefficient of </w:t>
      </w:r>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t</m:t>
            </m:r>
          </m:sub>
        </m:sSub>
      </m:oMath>
      <w:r w:rsidRPr="002976A5">
        <w:rPr>
          <w:rFonts w:eastAsiaTheme="minor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t</m:t>
            </m:r>
          </m:sub>
        </m:sSub>
      </m:oMath>
      <w:r w:rsidRPr="002976A5">
        <w:rPr>
          <w:rFonts w:eastAsiaTheme="minorEastAsia"/>
          <w:sz w:val="24"/>
          <w:szCs w:val="24"/>
        </w:rPr>
        <w:t>,</w:t>
      </w:r>
      <w:r w:rsidRPr="002976A5">
        <w:rPr>
          <w:rFonts w:ascii="Century" w:eastAsiaTheme="minorEastAsia" w:hAnsi="Century"/>
          <w:sz w:val="24"/>
          <w:szCs w:val="24"/>
        </w:rPr>
        <w:t xml:space="preserve"> </w:t>
      </w:r>
      <m:oMath>
        <m:r>
          <w:rPr>
            <w:rFonts w:ascii="Cambria Math" w:hAnsi="Cambria Math"/>
            <w:sz w:val="24"/>
            <w:szCs w:val="24"/>
          </w:rPr>
          <m:t>DJS</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m:t>
            </m:r>
          </m:sub>
        </m:sSub>
      </m:oMath>
      <w:r w:rsidRPr="002976A5">
        <w:rPr>
          <w:rFonts w:eastAsiaTheme="minorEastAsia"/>
          <w:sz w:val="24"/>
          <w:szCs w:val="24"/>
        </w:rPr>
        <w:t xml:space="preserve"> and </w:t>
      </w:r>
      <m:oMath>
        <m:r>
          <w:rPr>
            <w:rFonts w:ascii="Cambria Math" w:hAnsi="Cambria Math"/>
            <w:sz w:val="24"/>
            <w:szCs w:val="24"/>
          </w:rPr>
          <m:t>EONI</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t</m:t>
            </m:r>
          </m:sub>
        </m:sSub>
      </m:oMath>
      <w:r>
        <w:rPr>
          <w:rFonts w:eastAsiaTheme="minorEastAsia"/>
          <w:sz w:val="24"/>
          <w:szCs w:val="24"/>
        </w:rPr>
        <w:t xml:space="preserve"> </w:t>
      </w:r>
      <w:r>
        <w:rPr>
          <w:sz w:val="24"/>
          <w:szCs w:val="24"/>
        </w:rPr>
        <w:t xml:space="preserve">in </w:t>
      </w:r>
      <w:r w:rsidR="00013CD6">
        <w:rPr>
          <w:sz w:val="24"/>
          <w:szCs w:val="24"/>
        </w:rPr>
        <w:t>e</w:t>
      </w:r>
      <w:r>
        <w:rPr>
          <w:sz w:val="24"/>
          <w:szCs w:val="24"/>
        </w:rPr>
        <w:t>quation</w:t>
      </w:r>
      <w:r w:rsidR="00013CD6">
        <w:rPr>
          <w:sz w:val="24"/>
          <w:szCs w:val="24"/>
        </w:rPr>
        <w:t>s</w:t>
      </w:r>
      <w:r>
        <w:rPr>
          <w:sz w:val="24"/>
          <w:szCs w:val="24"/>
        </w:rPr>
        <w:t xml:space="preserve"> (12)</w:t>
      </w:r>
      <w:r w:rsidR="00013CD6">
        <w:rPr>
          <w:sz w:val="24"/>
          <w:szCs w:val="24"/>
        </w:rPr>
        <w:t xml:space="preserve"> and (13)</w:t>
      </w:r>
      <w:r>
        <w:rPr>
          <w:sz w:val="24"/>
          <w:szCs w:val="24"/>
        </w:rPr>
        <w:t xml:space="preserve"> are jointly equal to zero), and, similarly, all ECB shocks have no impact on the n</w:t>
      </w:r>
      <w:r w:rsidR="009D1783">
        <w:rPr>
          <w:sz w:val="24"/>
          <w:szCs w:val="24"/>
        </w:rPr>
        <w:t>e</w:t>
      </w:r>
      <w:r>
        <w:rPr>
          <w:sz w:val="24"/>
          <w:szCs w:val="24"/>
        </w:rPr>
        <w:t>twork structure (i.e. the coefficient</w:t>
      </w:r>
      <w:r w:rsidR="00013CD6">
        <w:rPr>
          <w:sz w:val="24"/>
          <w:szCs w:val="24"/>
        </w:rPr>
        <w:t>s</w:t>
      </w:r>
      <w:r>
        <w:rPr>
          <w:sz w:val="24"/>
          <w:szCs w:val="24"/>
        </w:rPr>
        <w:t xml:space="preserve"> of </w:t>
      </w:r>
      <m:oMath>
        <m:sSub>
          <m:sSubPr>
            <m:ctrlPr>
              <w:rPr>
                <w:rFonts w:ascii="Cambria Math" w:hAnsi="Cambria Math"/>
                <w:i/>
                <w:sz w:val="24"/>
                <w:szCs w:val="24"/>
              </w:rPr>
            </m:ctrlPr>
          </m:sSubPr>
          <m:e>
            <m:r>
              <w:rPr>
                <w:rFonts w:ascii="Cambria Math" w:hAnsi="Cambria Math"/>
                <w:sz w:val="24"/>
                <w:szCs w:val="24"/>
              </w:rPr>
              <m:t>LTRO</m:t>
            </m:r>
          </m:e>
          <m:sub>
            <m:r>
              <w:rPr>
                <w:rFonts w:ascii="Cambria Math" w:hAnsi="Cambria Math"/>
                <w:sz w:val="24"/>
                <w:szCs w:val="24"/>
              </w:rPr>
              <m:t>t</m:t>
            </m:r>
          </m:sub>
        </m:sSub>
      </m:oMath>
      <w:r w:rsidR="008216BC">
        <w:rPr>
          <w:rFonts w:eastAsiaTheme="minor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MRO</m:t>
            </m:r>
          </m:e>
          <m:sub>
            <m:r>
              <w:rPr>
                <w:rFonts w:ascii="Cambria Math" w:hAnsi="Cambria Math"/>
                <w:sz w:val="24"/>
                <w:szCs w:val="24"/>
              </w:rPr>
              <m:t>t</m:t>
            </m:r>
          </m:sub>
        </m:sSub>
      </m:oMath>
      <w:r>
        <w:rPr>
          <w:rFonts w:eastAsiaTheme="minorEastAsia"/>
          <w:sz w:val="24"/>
          <w:szCs w:val="24"/>
        </w:rPr>
        <w:t xml:space="preserve"> </w:t>
      </w:r>
      <w:r w:rsidR="00D47721">
        <w:rPr>
          <w:rFonts w:eastAsiaTheme="minorEastAsia"/>
          <w:sz w:val="24"/>
          <w:szCs w:val="24"/>
        </w:rPr>
        <w:t xml:space="preserve">and </w:t>
      </w:r>
      <m:oMath>
        <m:sSub>
          <m:sSubPr>
            <m:ctrlPr>
              <w:rPr>
                <w:rFonts w:ascii="Cambria Math" w:hAnsi="Cambria Math"/>
                <w:i/>
                <w:sz w:val="24"/>
                <w:szCs w:val="24"/>
              </w:rPr>
            </m:ctrlPr>
          </m:sSubPr>
          <m:e>
            <m:r>
              <w:rPr>
                <w:rFonts w:ascii="Cambria Math" w:hAnsi="Cambria Math"/>
                <w:sz w:val="24"/>
                <w:szCs w:val="24"/>
              </w:rPr>
              <m:t>OT</m:t>
            </m:r>
          </m:e>
          <m:sub>
            <m:r>
              <w:rPr>
                <w:rFonts w:ascii="Cambria Math" w:hAnsi="Cambria Math"/>
                <w:sz w:val="24"/>
                <w:szCs w:val="24"/>
              </w:rPr>
              <m:t>t</m:t>
            </m:r>
          </m:sub>
        </m:sSub>
      </m:oMath>
      <w:r w:rsidR="00D47721">
        <w:rPr>
          <w:rFonts w:eastAsiaTheme="minorEastAsia"/>
          <w:sz w:val="24"/>
          <w:szCs w:val="24"/>
        </w:rPr>
        <w:t xml:space="preserve"> </w:t>
      </w:r>
      <w:r>
        <w:rPr>
          <w:sz w:val="24"/>
          <w:szCs w:val="24"/>
        </w:rPr>
        <w:t>in Equation (12) are jointly equal to zero</w:t>
      </w:r>
      <w:r w:rsidR="00013CD6">
        <w:rPr>
          <w:sz w:val="24"/>
          <w:szCs w:val="24"/>
        </w:rPr>
        <w:t xml:space="preserve"> in equation (12), and the coefficient for</w:t>
      </w:r>
      <w:r w:rsidR="00C620C0">
        <w:rPr>
          <w:sz w:val="24"/>
          <w:szCs w:val="24"/>
        </w:rPr>
        <w:t xml:space="preserve"> </w:t>
      </w:r>
      <m:oMath>
        <m:sSub>
          <m:sSubPr>
            <m:ctrlPr>
              <w:rPr>
                <w:rFonts w:ascii="Cambria Math" w:hAnsi="Cambria Math"/>
                <w:i/>
                <w:sz w:val="24"/>
                <w:szCs w:val="24"/>
              </w:rPr>
            </m:ctrlPr>
          </m:sSubPr>
          <m:e>
            <m:r>
              <w:rPr>
                <w:rFonts w:ascii="Cambria Math" w:hAnsi="Cambria Math"/>
                <w:sz w:val="24"/>
                <w:szCs w:val="24"/>
              </w:rPr>
              <m:t>Announcements</m:t>
            </m:r>
          </m:e>
          <m:sub>
            <m:r>
              <w:rPr>
                <w:rFonts w:ascii="Cambria Math" w:hAnsi="Cambria Math"/>
                <w:sz w:val="24"/>
                <w:szCs w:val="24"/>
              </w:rPr>
              <m:t>t</m:t>
            </m:r>
          </m:sub>
        </m:sSub>
      </m:oMath>
      <w:r w:rsidR="00C620C0">
        <w:rPr>
          <w:rFonts w:eastAsiaTheme="minorEastAsia"/>
          <w:sz w:val="24"/>
          <w:szCs w:val="24"/>
        </w:rPr>
        <w:t xml:space="preserve"> </w:t>
      </w:r>
      <w:r w:rsidR="00667E7A">
        <w:rPr>
          <w:rFonts w:eastAsiaTheme="minorEastAsia"/>
          <w:sz w:val="24"/>
          <w:szCs w:val="24"/>
        </w:rPr>
        <w:t>in equation (13) is equal to zero</w:t>
      </w:r>
      <w:r>
        <w:rPr>
          <w:sz w:val="24"/>
          <w:szCs w:val="24"/>
        </w:rPr>
        <w:t xml:space="preserve">). </w:t>
      </w:r>
      <w:r w:rsidR="002B4DD2" w:rsidRPr="002976A5">
        <w:rPr>
          <w:sz w:val="24"/>
          <w:szCs w:val="24"/>
        </w:rPr>
        <w:t>A p-value close to zero indicates rejection of the null</w:t>
      </w:r>
      <w:r w:rsidR="004F6D4F">
        <w:rPr>
          <w:rFonts w:eastAsiaTheme="minorEastAsia"/>
          <w:sz w:val="24"/>
          <w:szCs w:val="24"/>
        </w:rPr>
        <w:t>—</w:t>
      </w:r>
      <w:r w:rsidR="002B4DD2" w:rsidRPr="002976A5">
        <w:rPr>
          <w:sz w:val="24"/>
          <w:szCs w:val="24"/>
        </w:rPr>
        <w:t xml:space="preserve">e.g. macro and/or ECB shocks are statistically relevant. </w:t>
      </w:r>
      <w:r w:rsidR="00667E7A">
        <w:rPr>
          <w:sz w:val="24"/>
          <w:szCs w:val="24"/>
        </w:rPr>
        <w:t>In the pre-crisis period, macroeconomic shocks are important for th</w:t>
      </w:r>
      <w:r w:rsidR="003C3614">
        <w:rPr>
          <w:sz w:val="24"/>
          <w:szCs w:val="24"/>
        </w:rPr>
        <w:t>e correlation network (except</w:t>
      </w:r>
      <w:r w:rsidR="00667E7A">
        <w:rPr>
          <w:sz w:val="24"/>
          <w:szCs w:val="24"/>
        </w:rPr>
        <w:t xml:space="preserve"> i</w:t>
      </w:r>
      <w:r w:rsidR="00B6596A">
        <w:rPr>
          <w:sz w:val="24"/>
          <w:szCs w:val="24"/>
        </w:rPr>
        <w:t xml:space="preserve">n </w:t>
      </w:r>
      <w:r w:rsidR="00667E7A">
        <w:rPr>
          <w:sz w:val="24"/>
          <w:szCs w:val="24"/>
        </w:rPr>
        <w:t>degree) at all forecasting horizons, while the physical network react</w:t>
      </w:r>
      <w:r w:rsidR="00B6596A">
        <w:rPr>
          <w:sz w:val="24"/>
          <w:szCs w:val="24"/>
        </w:rPr>
        <w:t>s</w:t>
      </w:r>
      <w:r w:rsidR="00667E7A">
        <w:rPr>
          <w:sz w:val="24"/>
          <w:szCs w:val="24"/>
        </w:rPr>
        <w:t xml:space="preserve"> to macroeconomic shocks only at </w:t>
      </w:r>
      <w:r w:rsidR="00B6596A">
        <w:rPr>
          <w:sz w:val="24"/>
          <w:szCs w:val="24"/>
        </w:rPr>
        <w:t xml:space="preserve">the 3-5 day </w:t>
      </w:r>
      <w:r w:rsidR="00667E7A">
        <w:rPr>
          <w:sz w:val="24"/>
          <w:szCs w:val="24"/>
        </w:rPr>
        <w:t>horizon.</w:t>
      </w:r>
    </w:p>
    <w:p w14:paraId="7BD171D4" w14:textId="7D2DFD0F" w:rsidR="00B6596A" w:rsidRDefault="001F7327" w:rsidP="00B620B1">
      <w:pPr>
        <w:spacing w:line="480" w:lineRule="auto"/>
        <w:ind w:firstLine="720"/>
        <w:jc w:val="both"/>
        <w:rPr>
          <w:sz w:val="24"/>
          <w:szCs w:val="24"/>
        </w:rPr>
      </w:pPr>
      <w:r>
        <w:rPr>
          <w:sz w:val="24"/>
          <w:szCs w:val="24"/>
        </w:rPr>
        <w:t xml:space="preserve">Similarly, Figure 9 documents </w:t>
      </w:r>
      <w:r>
        <w:rPr>
          <w:sz w:val="24"/>
          <w:szCs w:val="24"/>
        </w:rPr>
        <w:t xml:space="preserve">the partial </w:t>
      </w: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oMath>
      <w:r>
        <w:rPr>
          <w:rFonts w:eastAsiaTheme="minorEastAsia"/>
          <w:sz w:val="24"/>
          <w:szCs w:val="24"/>
        </w:rPr>
        <w:t xml:space="preserve">from equation (12) </w:t>
      </w:r>
      <w:r>
        <w:rPr>
          <w:sz w:val="24"/>
          <w:szCs w:val="24"/>
        </w:rPr>
        <w:t xml:space="preserve">related to the </w:t>
      </w:r>
      <w:r>
        <w:rPr>
          <w:sz w:val="24"/>
          <w:szCs w:val="24"/>
        </w:rPr>
        <w:t xml:space="preserve">operations </w:t>
      </w:r>
      <w:r>
        <w:rPr>
          <w:sz w:val="24"/>
          <w:szCs w:val="24"/>
        </w:rPr>
        <w:t xml:space="preserve">alone </w:t>
      </w:r>
      <w:r>
        <w:rPr>
          <w:sz w:val="24"/>
          <w:szCs w:val="24"/>
        </w:rPr>
        <w:t xml:space="preserve">during our sample period. </w:t>
      </w:r>
      <w:r w:rsidR="003C3614">
        <w:rPr>
          <w:sz w:val="24"/>
          <w:szCs w:val="24"/>
        </w:rPr>
        <w:t xml:space="preserve">Conditional on the macroeconomic environment, </w:t>
      </w:r>
      <w:r>
        <w:rPr>
          <w:sz w:val="24"/>
          <w:szCs w:val="24"/>
        </w:rPr>
        <w:t>the physical network generally responds more</w:t>
      </w:r>
      <w:r w:rsidR="004F3058">
        <w:rPr>
          <w:sz w:val="24"/>
          <w:szCs w:val="24"/>
        </w:rPr>
        <w:t xml:space="preserve"> to central bank operations.</w:t>
      </w:r>
      <w:r>
        <w:rPr>
          <w:sz w:val="24"/>
          <w:szCs w:val="24"/>
        </w:rPr>
        <w:t xml:space="preserve"> During the pre-crisis period, the incremental explanatory power from operations in the physical network is greatest contemporaneously, tailing off over </w:t>
      </w:r>
      <w:r>
        <w:rPr>
          <w:sz w:val="24"/>
          <w:szCs w:val="24"/>
        </w:rPr>
        <w:lastRenderedPageBreak/>
        <w:t xml:space="preserve">subsequent months.  During the crisis periods and beyond these effects are diminished or negligible (depending on the connectedness metric). </w:t>
      </w:r>
    </w:p>
    <w:p w14:paraId="3461437A" w14:textId="219CF28D" w:rsidR="002B4DD2" w:rsidRDefault="00667E7A" w:rsidP="00B6596A">
      <w:pPr>
        <w:spacing w:line="480" w:lineRule="auto"/>
        <w:ind w:firstLine="720"/>
        <w:jc w:val="both"/>
        <w:rPr>
          <w:sz w:val="24"/>
          <w:szCs w:val="24"/>
        </w:rPr>
      </w:pPr>
      <w:r>
        <w:rPr>
          <w:sz w:val="24"/>
          <w:szCs w:val="24"/>
        </w:rPr>
        <w:t xml:space="preserve">In </w:t>
      </w:r>
      <w:r w:rsidR="00B6596A">
        <w:rPr>
          <w:sz w:val="24"/>
          <w:szCs w:val="24"/>
        </w:rPr>
        <w:t xml:space="preserve">the </w:t>
      </w:r>
      <w:r>
        <w:rPr>
          <w:sz w:val="24"/>
          <w:szCs w:val="24"/>
        </w:rPr>
        <w:t xml:space="preserve">crisis </w:t>
      </w:r>
      <w:r w:rsidR="00BB3FED">
        <w:rPr>
          <w:sz w:val="24"/>
          <w:szCs w:val="24"/>
        </w:rPr>
        <w:t>and post-crisis periods</w:t>
      </w:r>
      <w:r>
        <w:rPr>
          <w:sz w:val="24"/>
          <w:szCs w:val="24"/>
        </w:rPr>
        <w:t xml:space="preserve">, the physical network </w:t>
      </w:r>
      <w:r w:rsidR="00B6596A">
        <w:rPr>
          <w:sz w:val="24"/>
          <w:szCs w:val="24"/>
        </w:rPr>
        <w:t>is</w:t>
      </w:r>
      <w:r>
        <w:rPr>
          <w:sz w:val="24"/>
          <w:szCs w:val="24"/>
        </w:rPr>
        <w:t xml:space="preserve"> more responsive to macroe</w:t>
      </w:r>
      <w:r w:rsidR="00BB3FED">
        <w:rPr>
          <w:sz w:val="24"/>
          <w:szCs w:val="24"/>
        </w:rPr>
        <w:t>c</w:t>
      </w:r>
      <w:r>
        <w:rPr>
          <w:sz w:val="24"/>
          <w:szCs w:val="24"/>
        </w:rPr>
        <w:t>onomic shocks than the correlation network</w:t>
      </w:r>
      <w:r w:rsidR="00B6596A">
        <w:rPr>
          <w:sz w:val="24"/>
          <w:szCs w:val="24"/>
        </w:rPr>
        <w:t xml:space="preserve">, </w:t>
      </w:r>
      <w:r w:rsidR="004F6D4F">
        <w:rPr>
          <w:sz w:val="24"/>
          <w:szCs w:val="24"/>
        </w:rPr>
        <w:t>consistent with Puliga</w:t>
      </w:r>
      <w:r w:rsidR="004F6D4F" w:rsidRPr="004F6D4F">
        <w:rPr>
          <w:sz w:val="24"/>
          <w:szCs w:val="24"/>
        </w:rPr>
        <w:t>, Caldarelli, and Battiston</w:t>
      </w:r>
      <w:r w:rsidR="004F6D4F">
        <w:rPr>
          <w:sz w:val="24"/>
          <w:szCs w:val="24"/>
        </w:rPr>
        <w:t xml:space="preserve"> (2014) who </w:t>
      </w:r>
      <w:r w:rsidR="00B6596A">
        <w:rPr>
          <w:sz w:val="24"/>
          <w:szCs w:val="24"/>
        </w:rPr>
        <w:t xml:space="preserve">document that during the crisis increased </w:t>
      </w:r>
      <w:r w:rsidR="004F6D4F">
        <w:rPr>
          <w:sz w:val="24"/>
          <w:szCs w:val="24"/>
        </w:rPr>
        <w:t>correlation</w:t>
      </w:r>
      <w:r w:rsidR="00B6596A">
        <w:rPr>
          <w:sz w:val="24"/>
          <w:szCs w:val="24"/>
        </w:rPr>
        <w:t xml:space="preserve">s in </w:t>
      </w:r>
      <w:r w:rsidR="004F6D4F">
        <w:rPr>
          <w:sz w:val="24"/>
          <w:szCs w:val="24"/>
        </w:rPr>
        <w:t>credit default swap premia</w:t>
      </w:r>
      <w:r w:rsidR="00B6596A">
        <w:rPr>
          <w:sz w:val="24"/>
          <w:szCs w:val="24"/>
        </w:rPr>
        <w:t xml:space="preserve"> depend on </w:t>
      </w:r>
      <w:r w:rsidR="004F6D4F" w:rsidRPr="004F6D4F">
        <w:rPr>
          <w:sz w:val="24"/>
          <w:szCs w:val="24"/>
        </w:rPr>
        <w:t xml:space="preserve">macroeconomic </w:t>
      </w:r>
      <w:r w:rsidR="004F6D4F">
        <w:rPr>
          <w:sz w:val="24"/>
          <w:szCs w:val="24"/>
        </w:rPr>
        <w:t>factors</w:t>
      </w:r>
      <w:r w:rsidR="004F6D4F" w:rsidRPr="004F6D4F">
        <w:rPr>
          <w:sz w:val="24"/>
          <w:szCs w:val="24"/>
        </w:rPr>
        <w:t>.</w:t>
      </w:r>
      <w:r w:rsidR="004F6D4F">
        <w:rPr>
          <w:sz w:val="24"/>
          <w:szCs w:val="24"/>
        </w:rPr>
        <w:t xml:space="preserve"> </w:t>
      </w:r>
      <w:r w:rsidR="006944AD" w:rsidRPr="002976A5">
        <w:rPr>
          <w:sz w:val="24"/>
          <w:szCs w:val="24"/>
        </w:rPr>
        <w:t xml:space="preserve">The F-tests </w:t>
      </w:r>
      <w:r w:rsidR="00BB3FED">
        <w:rPr>
          <w:sz w:val="24"/>
          <w:szCs w:val="24"/>
        </w:rPr>
        <w:t>for the</w:t>
      </w:r>
      <w:r w:rsidR="006944AD" w:rsidRPr="002976A5">
        <w:rPr>
          <w:sz w:val="24"/>
          <w:szCs w:val="24"/>
        </w:rPr>
        <w:t xml:space="preserve"> </w:t>
      </w:r>
      <w:r w:rsidR="004C6E5C" w:rsidRPr="002976A5">
        <w:rPr>
          <w:sz w:val="24"/>
          <w:szCs w:val="24"/>
        </w:rPr>
        <w:t xml:space="preserve">ECB </w:t>
      </w:r>
      <w:r w:rsidR="00BB3FED">
        <w:rPr>
          <w:sz w:val="24"/>
          <w:szCs w:val="24"/>
        </w:rPr>
        <w:t>interventions in equation (12) shows that these type of shocks</w:t>
      </w:r>
      <w:r w:rsidR="00BB3FED" w:rsidRPr="002976A5">
        <w:rPr>
          <w:sz w:val="24"/>
          <w:szCs w:val="24"/>
        </w:rPr>
        <w:t xml:space="preserve"> </w:t>
      </w:r>
      <w:r w:rsidR="006944AD" w:rsidRPr="002976A5">
        <w:rPr>
          <w:sz w:val="24"/>
          <w:szCs w:val="24"/>
        </w:rPr>
        <w:t>are important to only physical network</w:t>
      </w:r>
      <w:r w:rsidR="004D5F33">
        <w:rPr>
          <w:sz w:val="24"/>
          <w:szCs w:val="24"/>
        </w:rPr>
        <w:t>s</w:t>
      </w:r>
      <w:r w:rsidR="006944AD" w:rsidRPr="002976A5">
        <w:rPr>
          <w:sz w:val="24"/>
          <w:szCs w:val="24"/>
        </w:rPr>
        <w:t>.</w:t>
      </w:r>
      <w:r w:rsidR="002B4DD2" w:rsidRPr="002976A5">
        <w:rPr>
          <w:sz w:val="24"/>
          <w:szCs w:val="24"/>
        </w:rPr>
        <w:t xml:space="preserve"> </w:t>
      </w:r>
      <w:r w:rsidR="00BB3FED">
        <w:rPr>
          <w:sz w:val="24"/>
          <w:szCs w:val="24"/>
        </w:rPr>
        <w:t xml:space="preserve"> In particular, the physical network reacts to ECB interventions mainly at short horizons from 0 to 3 days.</w:t>
      </w:r>
      <w:r w:rsidR="00B6596A">
        <w:rPr>
          <w:rStyle w:val="FootnoteReference"/>
          <w:sz w:val="24"/>
          <w:szCs w:val="24"/>
        </w:rPr>
        <w:footnoteReference w:id="26"/>
      </w:r>
      <w:r w:rsidR="00B95807">
        <w:rPr>
          <w:sz w:val="24"/>
          <w:szCs w:val="24"/>
        </w:rPr>
        <w:t xml:space="preserve"> </w:t>
      </w:r>
    </w:p>
    <w:p w14:paraId="19667960" w14:textId="77777777" w:rsidR="00453352" w:rsidRDefault="00453352" w:rsidP="00453352">
      <w:pPr>
        <w:spacing w:line="480" w:lineRule="auto"/>
        <w:ind w:firstLine="720"/>
        <w:jc w:val="both"/>
        <w:rPr>
          <w:sz w:val="24"/>
          <w:szCs w:val="24"/>
        </w:rPr>
      </w:pPr>
      <w:r>
        <w:rPr>
          <w:sz w:val="24"/>
          <w:szCs w:val="24"/>
        </w:rPr>
        <w:t xml:space="preserve">To further isolate the effect of ECB shocks, we also examine the hypotheses above within a partial regression analysis setting. Specifically, let </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y</m:t>
                </m:r>
              </m:e>
            </m:acc>
          </m:e>
          <m:sub>
            <m:r>
              <w:rPr>
                <w:rFonts w:ascii="Cambria Math" w:hAnsi="Cambria Math"/>
                <w:sz w:val="24"/>
                <w:szCs w:val="24"/>
              </w:rPr>
              <m:t>t+k|1:4</m:t>
            </m:r>
          </m:sub>
        </m:sSub>
      </m:oMath>
      <w:r>
        <w:rPr>
          <w:rFonts w:eastAsiaTheme="minorEastAsia"/>
          <w:sz w:val="24"/>
          <w:szCs w:val="24"/>
        </w:rPr>
        <w:t xml:space="preserve"> denote</w:t>
      </w:r>
      <w:r>
        <w:rPr>
          <w:sz w:val="24"/>
          <w:szCs w:val="24"/>
        </w:rPr>
        <w:t xml:space="preserve"> the fitted values resulting from estimating the following regression model</w:t>
      </w:r>
    </w:p>
    <w:p w14:paraId="0B4B22E2" w14:textId="77777777" w:rsidR="00453352" w:rsidRDefault="00851398" w:rsidP="00453352">
      <w:pPr>
        <w:spacing w:line="480" w:lineRule="auto"/>
        <w:jc w:val="center"/>
        <w:rPr>
          <w:rFonts w:ascii="Century" w:eastAsiaTheme="minorEastAsia" w:hAnsi="Century"/>
          <w:sz w:val="24"/>
          <w:szCs w:val="24"/>
        </w:rPr>
      </w:pP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t+k</m:t>
            </m:r>
          </m:sub>
        </m:sSub>
        <m:r>
          <w:rPr>
            <w:rFonts w:ascii="Cambria Math" w:hAnsi="Cambria Math"/>
            <w:sz w:val="24"/>
            <w:szCs w:val="24"/>
          </w:rPr>
          <m:t>=</m:t>
        </m:r>
        <m:r>
          <w:rPr>
            <w:rFonts w:ascii="Cambria Math" w:eastAsiaTheme="minorEastAsia" w:hAnsi="Cambria Math"/>
            <w:sz w:val="24"/>
            <w:szCs w:val="24"/>
          </w:rPr>
          <m:t xml:space="preserve"> </m:t>
        </m:r>
        <m:r>
          <w:rPr>
            <w:rFonts w:ascii="Cambria Math" w:hAnsi="Cambria Math"/>
          </w:rPr>
          <m:t xml:space="preserve">α+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U</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DJS</m:t>
        </m:r>
        <m:sSub>
          <m:sSubPr>
            <m:ctrlPr>
              <w:rPr>
                <w:rFonts w:ascii="Cambria Math" w:hAnsi="Cambria Math"/>
                <w:i/>
              </w:rPr>
            </m:ctrlPr>
          </m:sSubPr>
          <m:e>
            <m:r>
              <w:rPr>
                <w:rFonts w:ascii="Cambria Math" w:hAnsi="Cambria Math"/>
              </w:rPr>
              <m:t>T</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4</m:t>
            </m:r>
          </m:sub>
        </m:sSub>
        <m:r>
          <w:rPr>
            <w:rFonts w:ascii="Cambria Math" w:hAnsi="Cambria Math"/>
          </w:rPr>
          <m:t>EONI</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+γ</m:t>
        </m:r>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 xml:space="preserve">+ </m:t>
        </m:r>
        <m:sSub>
          <m:sSubPr>
            <m:ctrlPr>
              <w:rPr>
                <w:rFonts w:ascii="Cambria Math" w:hAnsi="Cambria Math"/>
                <w:i/>
              </w:rPr>
            </m:ctrlPr>
          </m:sSubPr>
          <m:e>
            <m:r>
              <w:rPr>
                <w:rFonts w:ascii="Cambria Math" w:hAnsi="Cambria Math"/>
              </w:rPr>
              <m:t>ε</m:t>
            </m:r>
          </m:e>
          <m:sub>
            <m:r>
              <w:rPr>
                <w:rFonts w:ascii="Cambria Math" w:hAnsi="Cambria Math"/>
              </w:rPr>
              <m:t>t</m:t>
            </m:r>
          </m:sub>
        </m:sSub>
      </m:oMath>
      <w:r w:rsidR="00453352">
        <w:rPr>
          <w:rFonts w:ascii="Century" w:eastAsiaTheme="minorEastAsia" w:hAnsi="Century"/>
        </w:rPr>
        <w:t>.</w:t>
      </w:r>
      <w:r w:rsidR="00453352">
        <w:rPr>
          <w:rFonts w:ascii="Century" w:eastAsiaTheme="minorEastAsia" w:hAnsi="Century"/>
          <w:sz w:val="24"/>
          <w:szCs w:val="24"/>
        </w:rPr>
        <w:tab/>
        <w:t>(14)</w:t>
      </w:r>
    </w:p>
    <w:p w14:paraId="5C85E4C2" w14:textId="449BFEFA" w:rsidR="00453352" w:rsidRDefault="00B6596A" w:rsidP="00453352">
      <w:pPr>
        <w:spacing w:line="480" w:lineRule="auto"/>
        <w:rPr>
          <w:rFonts w:ascii="Century" w:eastAsiaTheme="minorEastAsia" w:hAnsi="Century"/>
          <w:sz w:val="24"/>
          <w:szCs w:val="24"/>
        </w:rPr>
      </w:pPr>
      <w:r>
        <w:rPr>
          <w:rFonts w:ascii="Century" w:eastAsiaTheme="minorEastAsia" w:hAnsi="Century"/>
          <w:sz w:val="24"/>
          <w:szCs w:val="24"/>
        </w:rPr>
        <w:t>W</w:t>
      </w:r>
      <w:r w:rsidR="00453352">
        <w:rPr>
          <w:rFonts w:ascii="Century" w:eastAsiaTheme="minorEastAsia" w:hAnsi="Century"/>
          <w:sz w:val="24"/>
          <w:szCs w:val="24"/>
        </w:rPr>
        <w:t xml:space="preserve">e </w:t>
      </w:r>
      <w:r>
        <w:rPr>
          <w:rFonts w:ascii="Century" w:eastAsiaTheme="minorEastAsia" w:hAnsi="Century"/>
          <w:sz w:val="24"/>
          <w:szCs w:val="24"/>
        </w:rPr>
        <w:t>test</w:t>
      </w:r>
      <w:r w:rsidR="00453352">
        <w:rPr>
          <w:rFonts w:ascii="Century" w:eastAsiaTheme="minorEastAsia" w:hAnsi="Century"/>
          <w:sz w:val="24"/>
          <w:szCs w:val="24"/>
        </w:rPr>
        <w:t xml:space="preserve"> the significance of variables in the following regression models </w:t>
      </w:r>
    </w:p>
    <w:p w14:paraId="17A5CA35" w14:textId="77777777" w:rsidR="00453352" w:rsidRDefault="00851398" w:rsidP="00453352">
      <w:pPr>
        <w:spacing w:line="480" w:lineRule="auto"/>
        <w:jc w:val="center"/>
        <w:rPr>
          <w:rFonts w:ascii="Century" w:eastAsiaTheme="minorEastAsia" w:hAnsi="Century"/>
          <w:sz w:val="24"/>
          <w:szCs w:val="24"/>
        </w:rPr>
      </w:pP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t+k</m:t>
            </m:r>
          </m:sub>
        </m:sSub>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y</m:t>
                </m:r>
              </m:e>
            </m:acc>
          </m:e>
          <m:sub>
            <m:r>
              <w:rPr>
                <w:rFonts w:ascii="Cambria Math" w:hAnsi="Cambria Math"/>
                <w:sz w:val="24"/>
                <w:szCs w:val="24"/>
              </w:rPr>
              <m:t>t+k|1:4</m:t>
            </m:r>
          </m:sub>
        </m:sSub>
        <m:r>
          <w:rPr>
            <w:rFonts w:ascii="Cambria Math" w:hAnsi="Cambria Math"/>
            <w:sz w:val="24"/>
            <w:szCs w:val="24"/>
          </w:rPr>
          <m:t>=</m:t>
        </m:r>
        <m:r>
          <w:rPr>
            <w:rFonts w:ascii="Cambria Math" w:eastAsiaTheme="minorEastAsia" w:hAnsi="Cambria Math"/>
            <w:sz w:val="24"/>
            <w:szCs w:val="24"/>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5</m:t>
            </m:r>
          </m:sub>
        </m:sSub>
        <m:r>
          <w:rPr>
            <w:rFonts w:ascii="Cambria Math" w:hAnsi="Cambria Math"/>
          </w:rPr>
          <m:t>LTR</m:t>
        </m:r>
        <m:sSub>
          <m:sSubPr>
            <m:ctrlPr>
              <w:rPr>
                <w:rFonts w:ascii="Cambria Math" w:hAnsi="Cambria Math"/>
                <w:i/>
              </w:rPr>
            </m:ctrlPr>
          </m:sSubPr>
          <m:e>
            <m:r>
              <w:rPr>
                <w:rFonts w:ascii="Cambria Math" w:hAnsi="Cambria Math"/>
              </w:rPr>
              <m:t>O</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6</m:t>
            </m:r>
          </m:sub>
        </m:sSub>
        <m:r>
          <w:rPr>
            <w:rFonts w:ascii="Cambria Math" w:hAnsi="Cambria Math"/>
          </w:rPr>
          <m:t>MR</m:t>
        </m:r>
        <m:sSub>
          <m:sSubPr>
            <m:ctrlPr>
              <w:rPr>
                <w:rFonts w:ascii="Cambria Math" w:hAnsi="Cambria Math"/>
                <w:i/>
              </w:rPr>
            </m:ctrlPr>
          </m:sSubPr>
          <m:e>
            <m:r>
              <w:rPr>
                <w:rFonts w:ascii="Cambria Math" w:hAnsi="Cambria Math"/>
              </w:rPr>
              <m:t>O</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7</m:t>
            </m:r>
          </m:sub>
        </m:sSub>
        <m:r>
          <w:rPr>
            <w:rFonts w:ascii="Cambria Math" w:hAnsi="Cambria Math"/>
          </w:rPr>
          <m:t>O</m:t>
        </m:r>
        <m:sSub>
          <m:sSubPr>
            <m:ctrlPr>
              <w:rPr>
                <w:rFonts w:ascii="Cambria Math" w:hAnsi="Cambria Math"/>
                <w:i/>
              </w:rPr>
            </m:ctrlPr>
          </m:sSubPr>
          <m:e>
            <m:r>
              <w:rPr>
                <w:rFonts w:ascii="Cambria Math" w:hAnsi="Cambria Math"/>
              </w:rPr>
              <m:t>T</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t</m:t>
            </m:r>
          </m:sub>
        </m:sSub>
      </m:oMath>
      <w:r w:rsidR="00453352">
        <w:rPr>
          <w:rFonts w:ascii="Century" w:eastAsiaTheme="minorEastAsia" w:hAnsi="Century"/>
          <w:sz w:val="24"/>
          <w:szCs w:val="24"/>
        </w:rPr>
        <w:t xml:space="preserve">       (15)</w:t>
      </w:r>
    </w:p>
    <w:p w14:paraId="4E4B2407" w14:textId="77777777" w:rsidR="00453352" w:rsidRDefault="00851398" w:rsidP="00453352">
      <w:pPr>
        <w:spacing w:line="480" w:lineRule="auto"/>
        <w:jc w:val="center"/>
        <w:rPr>
          <w:rFonts w:ascii="Century" w:eastAsiaTheme="minorEastAsia" w:hAnsi="Century"/>
          <w:sz w:val="24"/>
          <w:szCs w:val="24"/>
        </w:rPr>
      </w:pP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t+k</m:t>
            </m:r>
          </m:sub>
        </m:sSub>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y</m:t>
                </m:r>
              </m:e>
            </m:acc>
          </m:e>
          <m:sub>
            <m:r>
              <w:rPr>
                <w:rFonts w:ascii="Cambria Math" w:hAnsi="Cambria Math"/>
                <w:sz w:val="24"/>
                <w:szCs w:val="24"/>
              </w:rPr>
              <m:t>t+k|1:4</m:t>
            </m:r>
          </m:sub>
        </m:sSub>
        <m:r>
          <w:rPr>
            <w:rFonts w:ascii="Cambria Math" w:hAnsi="Cambria Math"/>
            <w:sz w:val="24"/>
            <w:szCs w:val="24"/>
          </w:rPr>
          <m:t>=</m:t>
        </m:r>
        <m:r>
          <w:rPr>
            <w:rFonts w:ascii="Cambria Math" w:eastAsiaTheme="minorEastAsia" w:hAnsi="Cambria Math"/>
            <w:sz w:val="24"/>
            <w:szCs w:val="24"/>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5</m:t>
            </m:r>
          </m:sub>
        </m:sSub>
        <m:r>
          <w:rPr>
            <w:rFonts w:ascii="Cambria Math" w:hAnsi="Cambria Math"/>
          </w:rPr>
          <m:t>Annoucement</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t</m:t>
            </m:r>
          </m:sub>
        </m:sSub>
      </m:oMath>
      <w:r w:rsidR="00453352">
        <w:rPr>
          <w:rFonts w:ascii="Century" w:eastAsiaTheme="minorEastAsia" w:hAnsi="Century"/>
        </w:rPr>
        <w:t>.</w:t>
      </w:r>
      <w:r w:rsidR="00453352">
        <w:rPr>
          <w:rFonts w:ascii="Century" w:eastAsiaTheme="minorEastAsia" w:hAnsi="Century"/>
          <w:sz w:val="24"/>
          <w:szCs w:val="24"/>
        </w:rPr>
        <w:t xml:space="preserve">       (16)</w:t>
      </w:r>
    </w:p>
    <w:p w14:paraId="249A3BCF" w14:textId="3C5EBC8F" w:rsidR="00BB3FED" w:rsidRPr="001853B6" w:rsidRDefault="00B95807" w:rsidP="001853B6">
      <w:pPr>
        <w:spacing w:line="480" w:lineRule="auto"/>
        <w:jc w:val="both"/>
        <w:rPr>
          <w:sz w:val="24"/>
          <w:szCs w:val="24"/>
        </w:rPr>
      </w:pPr>
      <w:r>
        <w:rPr>
          <w:sz w:val="24"/>
          <w:szCs w:val="24"/>
        </w:rPr>
        <w:t xml:space="preserve">Figure </w:t>
      </w:r>
      <w:r w:rsidR="00A71B36">
        <w:rPr>
          <w:sz w:val="24"/>
          <w:szCs w:val="24"/>
        </w:rPr>
        <w:t>10</w:t>
      </w:r>
      <w:r>
        <w:rPr>
          <w:sz w:val="24"/>
          <w:szCs w:val="24"/>
        </w:rPr>
        <w:t xml:space="preserve"> depicts the F-test for </w:t>
      </w:r>
      <w:r w:rsidR="001853B6">
        <w:rPr>
          <w:sz w:val="24"/>
          <w:szCs w:val="24"/>
        </w:rPr>
        <w:t xml:space="preserve">the null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0</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5</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6</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7</m:t>
            </m:r>
          </m:sub>
        </m:sSub>
        <m:r>
          <w:rPr>
            <w:rFonts w:ascii="Cambria Math" w:hAnsi="Cambria Math"/>
            <w:sz w:val="24"/>
            <w:szCs w:val="24"/>
          </w:rPr>
          <m:t>=0</m:t>
        </m:r>
        <m:r>
          <w:rPr>
            <w:rFonts w:ascii="Cambria Math" w:eastAsiaTheme="minorEastAsia"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3</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4</m:t>
            </m:r>
          </m:sub>
        </m:sSub>
        <m:r>
          <w:rPr>
            <w:rFonts w:ascii="Cambria Math" w:hAnsi="Cambria Math"/>
            <w:sz w:val="24"/>
            <w:szCs w:val="24"/>
          </w:rPr>
          <m:t>≠ 0</m:t>
        </m:r>
      </m:oMath>
      <w:r w:rsidR="001853B6" w:rsidRPr="001853B6">
        <w:rPr>
          <w:rFonts w:eastAsiaTheme="minorEastAsia"/>
          <w:sz w:val="24"/>
          <w:szCs w:val="24"/>
        </w:rPr>
        <w:t xml:space="preserve"> for equation </w:t>
      </w:r>
      <w:r w:rsidR="001853B6">
        <w:rPr>
          <w:rFonts w:eastAsiaTheme="minorEastAsia"/>
          <w:sz w:val="24"/>
          <w:szCs w:val="24"/>
        </w:rPr>
        <w:t>(15). In all sub-period</w:t>
      </w:r>
      <w:r w:rsidR="00B6596A">
        <w:rPr>
          <w:rFonts w:eastAsiaTheme="minorEastAsia"/>
          <w:sz w:val="24"/>
          <w:szCs w:val="24"/>
        </w:rPr>
        <w:t>s</w:t>
      </w:r>
      <w:r w:rsidR="001853B6">
        <w:rPr>
          <w:rFonts w:eastAsiaTheme="minorEastAsia"/>
          <w:sz w:val="24"/>
          <w:szCs w:val="24"/>
        </w:rPr>
        <w:t xml:space="preserve">, the correlation network responds to ECB interventions only contemporaneously (i.e. </w:t>
      </w:r>
      <w:r w:rsidR="001853B6" w:rsidRPr="001853B6">
        <w:rPr>
          <w:rFonts w:eastAsiaTheme="minorEastAsia"/>
          <w:i/>
          <w:sz w:val="24"/>
          <w:szCs w:val="24"/>
        </w:rPr>
        <w:t>k = 0</w:t>
      </w:r>
      <w:r w:rsidR="001853B6">
        <w:rPr>
          <w:rFonts w:eastAsiaTheme="minorEastAsia"/>
          <w:sz w:val="24"/>
          <w:szCs w:val="24"/>
        </w:rPr>
        <w:t xml:space="preserve">). This is also true for the physical network. However, interconnectedness in the physical network </w:t>
      </w:r>
      <w:r w:rsidR="00B6596A">
        <w:rPr>
          <w:rFonts w:eastAsiaTheme="minorEastAsia"/>
          <w:sz w:val="24"/>
          <w:szCs w:val="24"/>
        </w:rPr>
        <w:t>(</w:t>
      </w:r>
      <w:r w:rsidR="001853B6">
        <w:rPr>
          <w:rFonts w:eastAsiaTheme="minorEastAsia"/>
          <w:sz w:val="24"/>
          <w:szCs w:val="24"/>
        </w:rPr>
        <w:t xml:space="preserve">measured by the </w:t>
      </w:r>
      <w:r w:rsidR="001853B6">
        <w:rPr>
          <w:rFonts w:eastAsiaTheme="minorEastAsia"/>
          <w:sz w:val="24"/>
          <w:szCs w:val="24"/>
        </w:rPr>
        <w:lastRenderedPageBreak/>
        <w:t>clustering coefficient and degree</w:t>
      </w:r>
      <w:r w:rsidR="00B6596A">
        <w:rPr>
          <w:rFonts w:eastAsiaTheme="minorEastAsia"/>
          <w:sz w:val="24"/>
          <w:szCs w:val="24"/>
        </w:rPr>
        <w:t>)</w:t>
      </w:r>
      <w:r w:rsidR="001853B6">
        <w:rPr>
          <w:rFonts w:eastAsiaTheme="minorEastAsia"/>
          <w:sz w:val="24"/>
          <w:szCs w:val="24"/>
        </w:rPr>
        <w:t xml:space="preserve"> react</w:t>
      </w:r>
      <w:r w:rsidR="00B6596A">
        <w:rPr>
          <w:rFonts w:eastAsiaTheme="minorEastAsia"/>
          <w:sz w:val="24"/>
          <w:szCs w:val="24"/>
        </w:rPr>
        <w:t>s</w:t>
      </w:r>
      <w:r w:rsidR="001853B6">
        <w:rPr>
          <w:rFonts w:eastAsiaTheme="minorEastAsia"/>
          <w:sz w:val="24"/>
          <w:szCs w:val="24"/>
        </w:rPr>
        <w:t xml:space="preserve"> to ECB interventions </w:t>
      </w:r>
      <w:r w:rsidR="003C3614">
        <w:rPr>
          <w:rFonts w:eastAsiaTheme="minorEastAsia"/>
          <w:sz w:val="24"/>
          <w:szCs w:val="24"/>
        </w:rPr>
        <w:t xml:space="preserve">contemporaneously and across subsequent days </w:t>
      </w:r>
      <w:r w:rsidR="001853B6">
        <w:rPr>
          <w:rFonts w:eastAsiaTheme="minorEastAsia"/>
          <w:sz w:val="24"/>
          <w:szCs w:val="24"/>
        </w:rPr>
        <w:t>in the crisis and post-crisis sub-periods.</w:t>
      </w:r>
      <w:r w:rsidR="001853B6">
        <w:rPr>
          <w:rStyle w:val="FootnoteReference"/>
          <w:rFonts w:eastAsiaTheme="minorEastAsia"/>
          <w:sz w:val="24"/>
          <w:szCs w:val="24"/>
        </w:rPr>
        <w:footnoteReference w:id="27"/>
      </w:r>
    </w:p>
    <w:p w14:paraId="127C4BE3" w14:textId="51B8B20E" w:rsidR="002B4DD2" w:rsidRDefault="003F1B30" w:rsidP="007D62A5">
      <w:pPr>
        <w:spacing w:line="480" w:lineRule="auto"/>
        <w:ind w:firstLine="720"/>
        <w:jc w:val="both"/>
        <w:rPr>
          <w:sz w:val="24"/>
          <w:szCs w:val="24"/>
        </w:rPr>
      </w:pPr>
      <w:r w:rsidRPr="004D5F33">
        <w:rPr>
          <w:sz w:val="24"/>
          <w:szCs w:val="24"/>
        </w:rPr>
        <w:t xml:space="preserve">Overall, Figures </w:t>
      </w:r>
      <w:r w:rsidR="004D5F33">
        <w:rPr>
          <w:sz w:val="24"/>
          <w:szCs w:val="24"/>
        </w:rPr>
        <w:t>5</w:t>
      </w:r>
      <w:r w:rsidRPr="004D5F33">
        <w:rPr>
          <w:sz w:val="24"/>
          <w:szCs w:val="24"/>
        </w:rPr>
        <w:t>-</w:t>
      </w:r>
      <w:r w:rsidR="00C4471F">
        <w:rPr>
          <w:sz w:val="24"/>
          <w:szCs w:val="24"/>
        </w:rPr>
        <w:t>10</w:t>
      </w:r>
      <w:r w:rsidRPr="004D5F33">
        <w:rPr>
          <w:sz w:val="24"/>
          <w:szCs w:val="24"/>
        </w:rPr>
        <w:t xml:space="preserve"> show that the physical </w:t>
      </w:r>
      <w:r w:rsidR="007D62A5">
        <w:rPr>
          <w:sz w:val="24"/>
          <w:szCs w:val="24"/>
        </w:rPr>
        <w:t xml:space="preserve">and correlation </w:t>
      </w:r>
      <w:r w:rsidRPr="004D5F33">
        <w:rPr>
          <w:sz w:val="24"/>
          <w:szCs w:val="24"/>
        </w:rPr>
        <w:t>network</w:t>
      </w:r>
      <w:r w:rsidR="007D62A5">
        <w:rPr>
          <w:sz w:val="24"/>
          <w:szCs w:val="24"/>
        </w:rPr>
        <w:t>s</w:t>
      </w:r>
      <w:r w:rsidRPr="004D5F33">
        <w:rPr>
          <w:sz w:val="24"/>
          <w:szCs w:val="24"/>
        </w:rPr>
        <w:t xml:space="preserve"> </w:t>
      </w:r>
      <w:r w:rsidR="007D62A5">
        <w:rPr>
          <w:sz w:val="24"/>
          <w:szCs w:val="24"/>
        </w:rPr>
        <w:t>r</w:t>
      </w:r>
      <w:r w:rsidR="004D5F33">
        <w:rPr>
          <w:sz w:val="24"/>
          <w:szCs w:val="24"/>
        </w:rPr>
        <w:t>espon</w:t>
      </w:r>
      <w:r w:rsidR="007D62A5">
        <w:rPr>
          <w:sz w:val="24"/>
          <w:szCs w:val="24"/>
        </w:rPr>
        <w:t xml:space="preserve">d differently </w:t>
      </w:r>
      <w:r w:rsidR="004D5F33">
        <w:rPr>
          <w:sz w:val="24"/>
          <w:szCs w:val="24"/>
        </w:rPr>
        <w:t>to shocks</w:t>
      </w:r>
      <w:r w:rsidR="007D62A5">
        <w:rPr>
          <w:sz w:val="24"/>
          <w:szCs w:val="24"/>
        </w:rPr>
        <w:t xml:space="preserve"> and therefore reflect different information sets. To the extent that correlation networks based on stock prices are more forward looking, </w:t>
      </w:r>
      <w:r w:rsidR="00B6596A">
        <w:rPr>
          <w:sz w:val="24"/>
          <w:szCs w:val="24"/>
        </w:rPr>
        <w:t xml:space="preserve">we conjecture that </w:t>
      </w:r>
      <w:r w:rsidR="007D62A5">
        <w:rPr>
          <w:sz w:val="24"/>
          <w:szCs w:val="24"/>
        </w:rPr>
        <w:t xml:space="preserve">the relatively muted response is related to anticipated macroeconomic changes. Conversely, since our physical networks respond more strongly to shocks, we surmise that the physical network more closely reflects connectedness between and among banks, a connectedness that is more sensitive to economic shocks. </w:t>
      </w:r>
    </w:p>
    <w:p w14:paraId="3DD9768C" w14:textId="3B70DC41" w:rsidR="00B81B92" w:rsidRDefault="00811596" w:rsidP="00003929">
      <w:pPr>
        <w:pStyle w:val="ListParagraph"/>
        <w:spacing w:line="480" w:lineRule="auto"/>
        <w:ind w:left="0" w:firstLine="424"/>
        <w:jc w:val="both"/>
        <w:rPr>
          <w:sz w:val="24"/>
          <w:szCs w:val="24"/>
        </w:rPr>
      </w:pPr>
      <w:r>
        <w:rPr>
          <w:sz w:val="24"/>
          <w:szCs w:val="24"/>
        </w:rPr>
        <w:t>Given that correlation and physical networks capture different phenomenon, we</w:t>
      </w:r>
      <w:r w:rsidR="00EB54F3" w:rsidRPr="00EB54F3">
        <w:rPr>
          <w:sz w:val="24"/>
          <w:szCs w:val="24"/>
        </w:rPr>
        <w:t xml:space="preserve"> assess whether </w:t>
      </w:r>
      <w:r>
        <w:rPr>
          <w:sz w:val="24"/>
          <w:szCs w:val="24"/>
        </w:rPr>
        <w:t xml:space="preserve">and how </w:t>
      </w:r>
      <w:r w:rsidR="00EB54F3" w:rsidRPr="00EB54F3">
        <w:rPr>
          <w:sz w:val="24"/>
          <w:szCs w:val="24"/>
        </w:rPr>
        <w:t>network topology m</w:t>
      </w:r>
      <w:r>
        <w:rPr>
          <w:sz w:val="24"/>
          <w:szCs w:val="24"/>
        </w:rPr>
        <w:t xml:space="preserve">ight </w:t>
      </w:r>
      <w:r w:rsidR="00EB54F3" w:rsidRPr="00EB54F3">
        <w:rPr>
          <w:sz w:val="24"/>
          <w:szCs w:val="24"/>
        </w:rPr>
        <w:t xml:space="preserve">help </w:t>
      </w:r>
      <w:r>
        <w:rPr>
          <w:sz w:val="24"/>
          <w:szCs w:val="24"/>
        </w:rPr>
        <w:t xml:space="preserve">to serve policy makers </w:t>
      </w:r>
      <w:r w:rsidR="00EB54F3" w:rsidRPr="00EB54F3">
        <w:rPr>
          <w:sz w:val="24"/>
          <w:szCs w:val="24"/>
        </w:rPr>
        <w:t>in</w:t>
      </w:r>
      <w:r w:rsidR="00EB54F3">
        <w:rPr>
          <w:sz w:val="24"/>
          <w:szCs w:val="24"/>
        </w:rPr>
        <w:t xml:space="preserve"> forecasting relevant macroeconomic variables. </w:t>
      </w:r>
      <w:r>
        <w:rPr>
          <w:sz w:val="24"/>
          <w:szCs w:val="24"/>
        </w:rPr>
        <w:t xml:space="preserve">In this regard, we utilize monthly networks and </w:t>
      </w:r>
      <w:r w:rsidR="004028EF">
        <w:rPr>
          <w:sz w:val="24"/>
          <w:szCs w:val="24"/>
        </w:rPr>
        <w:t>consider several of macro variables</w:t>
      </w:r>
      <w:r>
        <w:rPr>
          <w:sz w:val="24"/>
          <w:szCs w:val="24"/>
        </w:rPr>
        <w:t xml:space="preserve"> </w:t>
      </w:r>
      <w:r w:rsidR="004028EF">
        <w:rPr>
          <w:sz w:val="24"/>
          <w:szCs w:val="24"/>
        </w:rPr>
        <w:t>includ</w:t>
      </w:r>
      <w:r>
        <w:rPr>
          <w:sz w:val="24"/>
          <w:szCs w:val="24"/>
        </w:rPr>
        <w:t>ing</w:t>
      </w:r>
    </w:p>
    <w:p w14:paraId="790F5C2D" w14:textId="36F43F15" w:rsidR="00B81B92" w:rsidRDefault="004028EF" w:rsidP="00CD33B5">
      <w:pPr>
        <w:pStyle w:val="ListParagraph"/>
        <w:numPr>
          <w:ilvl w:val="0"/>
          <w:numId w:val="16"/>
        </w:numPr>
        <w:spacing w:line="480" w:lineRule="auto"/>
        <w:jc w:val="both"/>
        <w:rPr>
          <w:sz w:val="24"/>
          <w:szCs w:val="24"/>
        </w:rPr>
      </w:pPr>
      <w:r w:rsidRPr="00497601">
        <w:rPr>
          <w:i/>
          <w:sz w:val="24"/>
          <w:szCs w:val="24"/>
        </w:rPr>
        <w:t>hard</w:t>
      </w:r>
      <w:r>
        <w:rPr>
          <w:sz w:val="24"/>
          <w:szCs w:val="24"/>
        </w:rPr>
        <w:t xml:space="preserve"> information, such as </w:t>
      </w:r>
      <w:r w:rsidR="00B81B92">
        <w:rPr>
          <w:sz w:val="24"/>
          <w:szCs w:val="24"/>
        </w:rPr>
        <w:t>I</w:t>
      </w:r>
      <w:r>
        <w:rPr>
          <w:sz w:val="24"/>
          <w:szCs w:val="24"/>
        </w:rPr>
        <w:t xml:space="preserve">ndustrial </w:t>
      </w:r>
      <w:r w:rsidR="00B81B92">
        <w:rPr>
          <w:sz w:val="24"/>
          <w:szCs w:val="24"/>
        </w:rPr>
        <w:t>P</w:t>
      </w:r>
      <w:r>
        <w:rPr>
          <w:sz w:val="24"/>
          <w:szCs w:val="24"/>
        </w:rPr>
        <w:t>roduction (IP)</w:t>
      </w:r>
      <w:r w:rsidR="00B81B92">
        <w:rPr>
          <w:sz w:val="24"/>
          <w:szCs w:val="24"/>
        </w:rPr>
        <w:t xml:space="preserve"> and</w:t>
      </w:r>
      <w:r>
        <w:rPr>
          <w:sz w:val="24"/>
          <w:szCs w:val="24"/>
        </w:rPr>
        <w:t xml:space="preserve"> </w:t>
      </w:r>
      <w:r w:rsidR="00B81B92">
        <w:rPr>
          <w:sz w:val="24"/>
          <w:szCs w:val="24"/>
        </w:rPr>
        <w:t>R</w:t>
      </w:r>
      <w:r>
        <w:rPr>
          <w:sz w:val="24"/>
          <w:szCs w:val="24"/>
        </w:rPr>
        <w:t xml:space="preserve">etail </w:t>
      </w:r>
      <w:r w:rsidR="00B81B92">
        <w:rPr>
          <w:sz w:val="24"/>
          <w:szCs w:val="24"/>
        </w:rPr>
        <w:t>S</w:t>
      </w:r>
      <w:r>
        <w:rPr>
          <w:sz w:val="24"/>
          <w:szCs w:val="24"/>
        </w:rPr>
        <w:t>ales (RS)</w:t>
      </w:r>
      <w:r w:rsidR="00B81B92">
        <w:rPr>
          <w:sz w:val="24"/>
          <w:szCs w:val="24"/>
        </w:rPr>
        <w:t>;</w:t>
      </w:r>
    </w:p>
    <w:p w14:paraId="455F284E" w14:textId="11C9D160" w:rsidR="004028EF" w:rsidRDefault="00B81B92" w:rsidP="00CD33B5">
      <w:pPr>
        <w:pStyle w:val="ListParagraph"/>
        <w:numPr>
          <w:ilvl w:val="0"/>
          <w:numId w:val="16"/>
        </w:numPr>
        <w:spacing w:line="480" w:lineRule="auto"/>
        <w:jc w:val="both"/>
        <w:rPr>
          <w:sz w:val="24"/>
          <w:szCs w:val="24"/>
        </w:rPr>
      </w:pPr>
      <w:r w:rsidRPr="00497601">
        <w:rPr>
          <w:i/>
          <w:sz w:val="24"/>
          <w:szCs w:val="24"/>
        </w:rPr>
        <w:t>soft</w:t>
      </w:r>
      <w:r>
        <w:rPr>
          <w:sz w:val="24"/>
          <w:szCs w:val="24"/>
        </w:rPr>
        <w:t xml:space="preserve"> information, such as the </w:t>
      </w:r>
      <w:r w:rsidR="004028EF">
        <w:rPr>
          <w:sz w:val="24"/>
          <w:szCs w:val="24"/>
        </w:rPr>
        <w:t>Purchasing Manager Index</w:t>
      </w:r>
      <w:r>
        <w:rPr>
          <w:sz w:val="24"/>
          <w:szCs w:val="24"/>
        </w:rPr>
        <w:t xml:space="preserve"> (PMI)</w:t>
      </w:r>
      <w:r w:rsidR="004F6D4F" w:rsidRPr="004F6D4F">
        <w:rPr>
          <w:rFonts w:eastAsiaTheme="minorEastAsia"/>
          <w:sz w:val="24"/>
          <w:szCs w:val="24"/>
        </w:rPr>
        <w:t xml:space="preserve"> </w:t>
      </w:r>
      <w:r w:rsidR="004F6D4F">
        <w:rPr>
          <w:rFonts w:eastAsiaTheme="minorEastAsia"/>
          <w:sz w:val="24"/>
          <w:szCs w:val="24"/>
        </w:rPr>
        <w:t>—</w:t>
      </w:r>
      <w:r w:rsidRPr="00B81B92">
        <w:rPr>
          <w:sz w:val="24"/>
          <w:szCs w:val="24"/>
        </w:rPr>
        <w:t xml:space="preserve">Bańbura and Rünstler (2011) show that soft information </w:t>
      </w:r>
      <w:r>
        <w:rPr>
          <w:sz w:val="24"/>
          <w:szCs w:val="24"/>
        </w:rPr>
        <w:t>may be important in forecasting</w:t>
      </w:r>
      <w:r w:rsidR="004028EF">
        <w:rPr>
          <w:sz w:val="24"/>
          <w:szCs w:val="24"/>
        </w:rPr>
        <w:t>)</w:t>
      </w:r>
      <w:r w:rsidR="00497601">
        <w:rPr>
          <w:sz w:val="24"/>
          <w:szCs w:val="24"/>
        </w:rPr>
        <w:t>;</w:t>
      </w:r>
    </w:p>
    <w:p w14:paraId="7D5D2C1A" w14:textId="332ABDA0" w:rsidR="0049479B" w:rsidRDefault="00497601" w:rsidP="00C23BC9">
      <w:pPr>
        <w:spacing w:line="480" w:lineRule="auto"/>
        <w:ind w:firstLine="720"/>
        <w:jc w:val="both"/>
        <w:rPr>
          <w:sz w:val="24"/>
          <w:szCs w:val="24"/>
        </w:rPr>
      </w:pPr>
      <w:r>
        <w:rPr>
          <w:sz w:val="24"/>
          <w:szCs w:val="24"/>
        </w:rPr>
        <w:t>t</w:t>
      </w:r>
      <w:r w:rsidR="00B81B92" w:rsidRPr="00B81B92">
        <w:rPr>
          <w:sz w:val="24"/>
          <w:szCs w:val="24"/>
        </w:rPr>
        <w:t xml:space="preserve">he </w:t>
      </w:r>
      <w:r w:rsidR="00B81B92">
        <w:rPr>
          <w:sz w:val="24"/>
          <w:szCs w:val="24"/>
        </w:rPr>
        <w:t xml:space="preserve">spread between the </w:t>
      </w:r>
      <w:r w:rsidR="00E96997" w:rsidRPr="00E96997">
        <w:rPr>
          <w:sz w:val="24"/>
          <w:szCs w:val="24"/>
        </w:rPr>
        <w:t>Euro Interbank Offered Rate</w:t>
      </w:r>
      <w:r w:rsidR="00E96997">
        <w:rPr>
          <w:sz w:val="24"/>
          <w:szCs w:val="24"/>
        </w:rPr>
        <w:t xml:space="preserve"> </w:t>
      </w:r>
      <w:r w:rsidR="00811596">
        <w:rPr>
          <w:sz w:val="24"/>
          <w:szCs w:val="24"/>
        </w:rPr>
        <w:t xml:space="preserve">appears to provide valuable information about the future state of the economy. In this regard, we suggest that monitoring interbank markets </w:t>
      </w:r>
      <w:r w:rsidR="00F47F00">
        <w:rPr>
          <w:sz w:val="24"/>
          <w:szCs w:val="24"/>
        </w:rPr>
        <w:t>would provide valuable gauge for assessing the state of the bank sector and effectiveness of interventions</w:t>
      </w:r>
      <w:r w:rsidR="0049479B">
        <w:rPr>
          <w:sz w:val="24"/>
          <w:szCs w:val="24"/>
        </w:rPr>
        <w:t>.</w:t>
      </w:r>
    </w:p>
    <w:p w14:paraId="4905F342" w14:textId="77777777" w:rsidR="004F6D4F" w:rsidRPr="00497601" w:rsidRDefault="004F6D4F" w:rsidP="00C23BC9">
      <w:pPr>
        <w:spacing w:line="480" w:lineRule="auto"/>
        <w:ind w:firstLine="720"/>
        <w:jc w:val="both"/>
        <w:rPr>
          <w:sz w:val="24"/>
          <w:szCs w:val="24"/>
        </w:rPr>
      </w:pPr>
    </w:p>
    <w:p w14:paraId="688233FA" w14:textId="7372F576" w:rsidR="00C069F0" w:rsidRPr="004F6D4F" w:rsidRDefault="00003929" w:rsidP="004F6D4F">
      <w:pPr>
        <w:spacing w:line="480" w:lineRule="auto"/>
        <w:rPr>
          <w:b/>
          <w:sz w:val="28"/>
          <w:szCs w:val="28"/>
        </w:rPr>
      </w:pPr>
      <w:r>
        <w:rPr>
          <w:b/>
          <w:sz w:val="28"/>
          <w:szCs w:val="28"/>
        </w:rPr>
        <w:lastRenderedPageBreak/>
        <w:t>7</w:t>
      </w:r>
      <w:r w:rsidR="00C069F0" w:rsidRPr="004F6D4F">
        <w:rPr>
          <w:b/>
          <w:sz w:val="28"/>
          <w:szCs w:val="28"/>
        </w:rPr>
        <w:t>. Concluding Remarks</w:t>
      </w:r>
    </w:p>
    <w:p w14:paraId="6610DC87" w14:textId="6412A761" w:rsidR="00D20A49" w:rsidRPr="00C74A1C" w:rsidRDefault="00B26E0F" w:rsidP="004F6D4F">
      <w:pPr>
        <w:pStyle w:val="ListParagraph"/>
        <w:spacing w:line="480" w:lineRule="auto"/>
        <w:ind w:left="0" w:firstLine="720"/>
        <w:jc w:val="both"/>
        <w:rPr>
          <w:sz w:val="24"/>
          <w:szCs w:val="24"/>
        </w:rPr>
      </w:pPr>
      <w:r w:rsidRPr="00C74A1C">
        <w:rPr>
          <w:sz w:val="24"/>
          <w:szCs w:val="24"/>
        </w:rPr>
        <w:t xml:space="preserve">During the recent financial crisis, market dynamics changed dramatically, with </w:t>
      </w:r>
      <w:r w:rsidR="0082516D" w:rsidRPr="00C74A1C">
        <w:rPr>
          <w:sz w:val="24"/>
          <w:szCs w:val="24"/>
        </w:rPr>
        <w:t>some markets seizing up as market uncertainty and asymmetric information between banks created unprecedented problems in the world economy. In this paper w</w:t>
      </w:r>
      <w:r w:rsidR="00C069F0" w:rsidRPr="00C74A1C">
        <w:rPr>
          <w:sz w:val="24"/>
          <w:szCs w:val="24"/>
        </w:rPr>
        <w:t xml:space="preserve">e analyze </w:t>
      </w:r>
      <w:r w:rsidR="0082516D" w:rsidRPr="00C74A1C">
        <w:rPr>
          <w:sz w:val="24"/>
          <w:szCs w:val="24"/>
        </w:rPr>
        <w:t xml:space="preserve">the detailed trading data from the European </w:t>
      </w:r>
      <w:r w:rsidR="00446B01">
        <w:rPr>
          <w:sz w:val="24"/>
          <w:szCs w:val="24"/>
        </w:rPr>
        <w:t xml:space="preserve">(e-MID) </w:t>
      </w:r>
      <w:r w:rsidR="0082516D" w:rsidRPr="00C74A1C">
        <w:rPr>
          <w:sz w:val="24"/>
          <w:szCs w:val="24"/>
        </w:rPr>
        <w:t xml:space="preserve">interbank market to better understand how interbank trading reflected these economic problems.  We construct and examine </w:t>
      </w:r>
      <w:r w:rsidR="00A17464">
        <w:rPr>
          <w:sz w:val="24"/>
          <w:szCs w:val="24"/>
        </w:rPr>
        <w:t xml:space="preserve">physical </w:t>
      </w:r>
      <w:r w:rsidR="0017702E">
        <w:rPr>
          <w:sz w:val="24"/>
          <w:szCs w:val="24"/>
        </w:rPr>
        <w:t>network</w:t>
      </w:r>
      <w:r w:rsidR="00C069F0" w:rsidRPr="00C74A1C">
        <w:rPr>
          <w:sz w:val="24"/>
          <w:szCs w:val="24"/>
        </w:rPr>
        <w:t xml:space="preserve">s </w:t>
      </w:r>
      <w:r w:rsidR="00446B01">
        <w:rPr>
          <w:sz w:val="24"/>
          <w:szCs w:val="24"/>
        </w:rPr>
        <w:t xml:space="preserve">of trade </w:t>
      </w:r>
      <w:r w:rsidR="0082516D" w:rsidRPr="00C74A1C">
        <w:rPr>
          <w:sz w:val="24"/>
          <w:szCs w:val="24"/>
        </w:rPr>
        <w:t xml:space="preserve">that allow us to examine </w:t>
      </w:r>
      <w:r w:rsidR="00446B01">
        <w:rPr>
          <w:sz w:val="24"/>
          <w:szCs w:val="24"/>
        </w:rPr>
        <w:t xml:space="preserve">bank connectedness </w:t>
      </w:r>
      <w:r w:rsidR="0082516D" w:rsidRPr="00C74A1C">
        <w:rPr>
          <w:sz w:val="24"/>
          <w:szCs w:val="24"/>
        </w:rPr>
        <w:t xml:space="preserve">over time. Further, we compare and contrast </w:t>
      </w:r>
      <w:r w:rsidR="00F47F00">
        <w:rPr>
          <w:sz w:val="24"/>
          <w:szCs w:val="24"/>
        </w:rPr>
        <w:t xml:space="preserve">correlation </w:t>
      </w:r>
      <w:r w:rsidR="00907617">
        <w:rPr>
          <w:sz w:val="24"/>
          <w:szCs w:val="24"/>
        </w:rPr>
        <w:t>network</w:t>
      </w:r>
      <w:r w:rsidR="0082516D" w:rsidRPr="00C74A1C">
        <w:rPr>
          <w:sz w:val="24"/>
          <w:szCs w:val="24"/>
        </w:rPr>
        <w:t xml:space="preserve">s (constructed with </w:t>
      </w:r>
      <w:r w:rsidR="00F47F00">
        <w:rPr>
          <w:sz w:val="24"/>
          <w:szCs w:val="24"/>
        </w:rPr>
        <w:t xml:space="preserve">Granger-causality between </w:t>
      </w:r>
      <w:r w:rsidR="0082516D" w:rsidRPr="00C74A1C">
        <w:rPr>
          <w:sz w:val="24"/>
          <w:szCs w:val="24"/>
        </w:rPr>
        <w:t xml:space="preserve">stock returns) </w:t>
      </w:r>
      <w:r w:rsidR="00D20A49" w:rsidRPr="00C74A1C">
        <w:rPr>
          <w:sz w:val="24"/>
          <w:szCs w:val="24"/>
        </w:rPr>
        <w:t xml:space="preserve">with </w:t>
      </w:r>
      <w:r w:rsidR="00A17464">
        <w:rPr>
          <w:sz w:val="24"/>
          <w:szCs w:val="24"/>
        </w:rPr>
        <w:t xml:space="preserve">physical </w:t>
      </w:r>
      <w:r w:rsidR="0017702E">
        <w:rPr>
          <w:sz w:val="24"/>
          <w:szCs w:val="24"/>
        </w:rPr>
        <w:t>network</w:t>
      </w:r>
      <w:r w:rsidR="00D20A49" w:rsidRPr="00C74A1C">
        <w:rPr>
          <w:sz w:val="24"/>
          <w:szCs w:val="24"/>
        </w:rPr>
        <w:t xml:space="preserve">s </w:t>
      </w:r>
      <w:r w:rsidR="00F47F00">
        <w:rPr>
          <w:sz w:val="24"/>
          <w:szCs w:val="24"/>
        </w:rPr>
        <w:t xml:space="preserve">(constructed from interbank trades) </w:t>
      </w:r>
      <w:r w:rsidR="00D20A49" w:rsidRPr="00C74A1C">
        <w:rPr>
          <w:sz w:val="24"/>
          <w:szCs w:val="24"/>
        </w:rPr>
        <w:t xml:space="preserve">to better interpret results from each. </w:t>
      </w:r>
    </w:p>
    <w:p w14:paraId="78E0C1B0" w14:textId="310D64CE" w:rsidR="00446B01" w:rsidRDefault="00D20A49" w:rsidP="00446B01">
      <w:pPr>
        <w:pStyle w:val="ListParagraph"/>
        <w:spacing w:line="480" w:lineRule="auto"/>
        <w:ind w:left="0" w:firstLine="720"/>
        <w:jc w:val="both"/>
        <w:rPr>
          <w:sz w:val="24"/>
          <w:szCs w:val="24"/>
        </w:rPr>
      </w:pPr>
      <w:r w:rsidRPr="00C74A1C">
        <w:rPr>
          <w:sz w:val="24"/>
          <w:szCs w:val="24"/>
        </w:rPr>
        <w:t xml:space="preserve">We demonstrate that </w:t>
      </w:r>
      <w:r w:rsidR="00536CE3">
        <w:rPr>
          <w:sz w:val="24"/>
          <w:szCs w:val="24"/>
        </w:rPr>
        <w:t xml:space="preserve">correlation and </w:t>
      </w:r>
      <w:r w:rsidR="009E60CD">
        <w:rPr>
          <w:sz w:val="24"/>
          <w:szCs w:val="24"/>
        </w:rPr>
        <w:t xml:space="preserve">physical </w:t>
      </w:r>
      <w:r w:rsidR="0017702E">
        <w:rPr>
          <w:sz w:val="24"/>
          <w:szCs w:val="24"/>
        </w:rPr>
        <w:t>network</w:t>
      </w:r>
      <w:r w:rsidR="00F03D95">
        <w:rPr>
          <w:sz w:val="24"/>
          <w:szCs w:val="24"/>
        </w:rPr>
        <w:t>s reflect important</w:t>
      </w:r>
      <w:r w:rsidR="00446B01">
        <w:rPr>
          <w:sz w:val="24"/>
          <w:szCs w:val="24"/>
        </w:rPr>
        <w:t xml:space="preserve">, but different, </w:t>
      </w:r>
      <w:r w:rsidRPr="00C74A1C">
        <w:rPr>
          <w:sz w:val="24"/>
          <w:szCs w:val="24"/>
        </w:rPr>
        <w:t xml:space="preserve">economic conditions in the </w:t>
      </w:r>
      <w:r w:rsidR="00896F8B">
        <w:rPr>
          <w:sz w:val="24"/>
          <w:szCs w:val="24"/>
        </w:rPr>
        <w:t xml:space="preserve">European </w:t>
      </w:r>
      <w:r w:rsidR="00F47F00">
        <w:rPr>
          <w:sz w:val="24"/>
          <w:szCs w:val="24"/>
        </w:rPr>
        <w:t>banking sector</w:t>
      </w:r>
      <w:r w:rsidRPr="00C74A1C">
        <w:rPr>
          <w:sz w:val="24"/>
          <w:szCs w:val="24"/>
        </w:rPr>
        <w:t>. During the crisis, physical bank networks reveal a breakdown in connectivity in the interbank market</w:t>
      </w:r>
      <w:r w:rsidR="00A61B3F" w:rsidRPr="00C74A1C">
        <w:rPr>
          <w:sz w:val="24"/>
          <w:szCs w:val="24"/>
        </w:rPr>
        <w:t>.</w:t>
      </w:r>
      <w:r w:rsidRPr="00C74A1C">
        <w:rPr>
          <w:sz w:val="24"/>
          <w:szCs w:val="24"/>
        </w:rPr>
        <w:t xml:space="preserve"> </w:t>
      </w:r>
      <w:r w:rsidR="00A61B3F" w:rsidRPr="00C74A1C">
        <w:rPr>
          <w:sz w:val="24"/>
          <w:szCs w:val="24"/>
        </w:rPr>
        <w:t xml:space="preserve"> Interestingly, </w:t>
      </w:r>
      <w:r w:rsidR="00F47F00">
        <w:rPr>
          <w:sz w:val="24"/>
          <w:szCs w:val="24"/>
        </w:rPr>
        <w:t xml:space="preserve">correlation </w:t>
      </w:r>
      <w:r w:rsidR="00907617">
        <w:rPr>
          <w:sz w:val="24"/>
          <w:szCs w:val="24"/>
        </w:rPr>
        <w:t>network</w:t>
      </w:r>
      <w:r w:rsidRPr="00C74A1C">
        <w:rPr>
          <w:sz w:val="24"/>
          <w:szCs w:val="24"/>
        </w:rPr>
        <w:t xml:space="preserve">s show </w:t>
      </w:r>
      <w:r w:rsidR="00A61B3F" w:rsidRPr="00C74A1C">
        <w:rPr>
          <w:sz w:val="24"/>
          <w:szCs w:val="24"/>
        </w:rPr>
        <w:t xml:space="preserve">increased comovements in market returns during the crisis that have been interpreted as </w:t>
      </w:r>
      <w:r w:rsidRPr="00C74A1C">
        <w:rPr>
          <w:sz w:val="24"/>
          <w:szCs w:val="24"/>
        </w:rPr>
        <w:t>an increase in connectivity</w:t>
      </w:r>
      <w:r w:rsidR="00F47F00">
        <w:rPr>
          <w:sz w:val="24"/>
          <w:szCs w:val="24"/>
        </w:rPr>
        <w:t>, a connectivity that we ascribe to  a  common factor unrelated to interbank trading</w:t>
      </w:r>
      <w:r w:rsidRPr="00C74A1C">
        <w:rPr>
          <w:sz w:val="24"/>
          <w:szCs w:val="24"/>
        </w:rPr>
        <w:t>.</w:t>
      </w:r>
      <w:r w:rsidR="00446B01">
        <w:rPr>
          <w:sz w:val="24"/>
          <w:szCs w:val="24"/>
        </w:rPr>
        <w:t xml:space="preserve"> </w:t>
      </w:r>
    </w:p>
    <w:p w14:paraId="61737F16" w14:textId="5FB509C5" w:rsidR="00446B01" w:rsidRDefault="00446B01" w:rsidP="00446B01">
      <w:pPr>
        <w:spacing w:line="480" w:lineRule="auto"/>
        <w:ind w:firstLine="720"/>
        <w:jc w:val="both"/>
        <w:rPr>
          <w:sz w:val="24"/>
          <w:szCs w:val="24"/>
        </w:rPr>
      </w:pPr>
      <w:r>
        <w:rPr>
          <w:sz w:val="24"/>
          <w:szCs w:val="24"/>
        </w:rPr>
        <w:t xml:space="preserve">Moreover, </w:t>
      </w:r>
      <w:r>
        <w:rPr>
          <w:sz w:val="24"/>
          <w:szCs w:val="24"/>
        </w:rPr>
        <w:t>c</w:t>
      </w:r>
      <w:r>
        <w:rPr>
          <w:sz w:val="24"/>
          <w:szCs w:val="24"/>
        </w:rPr>
        <w:t xml:space="preserve">orrelation and physical networks respond differently to monetary and macroeconomic shocks. Interconnectedness in physical networks </w:t>
      </w:r>
      <w:r w:rsidRPr="00C311F4">
        <w:rPr>
          <w:sz w:val="24"/>
          <w:szCs w:val="24"/>
        </w:rPr>
        <w:t>adjust</w:t>
      </w:r>
      <w:r>
        <w:rPr>
          <w:sz w:val="24"/>
          <w:szCs w:val="24"/>
        </w:rPr>
        <w:t xml:space="preserve"> strongly and quickly</w:t>
      </w:r>
      <w:r w:rsidRPr="00C311F4">
        <w:rPr>
          <w:sz w:val="24"/>
          <w:szCs w:val="24"/>
        </w:rPr>
        <w:t xml:space="preserve"> to </w:t>
      </w:r>
      <w:r>
        <w:rPr>
          <w:sz w:val="24"/>
          <w:szCs w:val="24"/>
        </w:rPr>
        <w:t xml:space="preserve">central bank operations and to announcements of </w:t>
      </w:r>
      <w:r w:rsidRPr="00C311F4">
        <w:rPr>
          <w:sz w:val="24"/>
          <w:szCs w:val="24"/>
        </w:rPr>
        <w:t xml:space="preserve">new information, revealing important </w:t>
      </w:r>
      <w:r>
        <w:rPr>
          <w:sz w:val="24"/>
          <w:szCs w:val="24"/>
        </w:rPr>
        <w:t>markers of liquidity</w:t>
      </w:r>
      <w:r>
        <w:rPr>
          <w:sz w:val="24"/>
          <w:szCs w:val="24"/>
        </w:rPr>
        <w:t xml:space="preserve"> at short (daily) horizons. Conversely, </w:t>
      </w:r>
      <w:r w:rsidR="00F03D95">
        <w:rPr>
          <w:sz w:val="24"/>
          <w:szCs w:val="24"/>
        </w:rPr>
        <w:t xml:space="preserve">while </w:t>
      </w:r>
      <w:r>
        <w:rPr>
          <w:sz w:val="24"/>
          <w:szCs w:val="24"/>
        </w:rPr>
        <w:t xml:space="preserve">interconnectedness in correlation networks </w:t>
      </w:r>
      <w:r w:rsidR="00F03D95">
        <w:rPr>
          <w:sz w:val="24"/>
          <w:szCs w:val="24"/>
        </w:rPr>
        <w:t xml:space="preserve">marks the onset of the crisis, this metric </w:t>
      </w:r>
      <w:r>
        <w:rPr>
          <w:sz w:val="24"/>
          <w:szCs w:val="24"/>
        </w:rPr>
        <w:t xml:space="preserve">changes little in response to </w:t>
      </w:r>
      <w:r w:rsidR="00F03D95">
        <w:rPr>
          <w:sz w:val="24"/>
          <w:szCs w:val="24"/>
        </w:rPr>
        <w:t xml:space="preserve">central </w:t>
      </w:r>
      <w:r>
        <w:rPr>
          <w:sz w:val="24"/>
          <w:szCs w:val="24"/>
        </w:rPr>
        <w:t xml:space="preserve">announcements and interventions.  </w:t>
      </w:r>
    </w:p>
    <w:p w14:paraId="2FE917A9" w14:textId="44EC6664" w:rsidR="00A61B3F" w:rsidRDefault="00F03D95" w:rsidP="00CA6872">
      <w:pPr>
        <w:spacing w:line="480" w:lineRule="auto"/>
        <w:ind w:firstLine="720"/>
        <w:jc w:val="both"/>
        <w:rPr>
          <w:sz w:val="24"/>
          <w:szCs w:val="24"/>
        </w:rPr>
      </w:pPr>
      <w:r>
        <w:rPr>
          <w:sz w:val="24"/>
          <w:szCs w:val="24"/>
        </w:rPr>
        <w:lastRenderedPageBreak/>
        <w:t xml:space="preserve">Our results demonstrate </w:t>
      </w:r>
      <w:r w:rsidR="00446B01">
        <w:rPr>
          <w:sz w:val="24"/>
          <w:szCs w:val="24"/>
        </w:rPr>
        <w:t xml:space="preserve">that correlation networks can </w:t>
      </w:r>
      <w:r w:rsidR="00446B01" w:rsidRPr="00C74A1C">
        <w:rPr>
          <w:sz w:val="24"/>
          <w:szCs w:val="24"/>
        </w:rPr>
        <w:t xml:space="preserve">identify </w:t>
      </w:r>
      <w:r w:rsidR="00446B01">
        <w:rPr>
          <w:sz w:val="24"/>
          <w:szCs w:val="24"/>
        </w:rPr>
        <w:t>(and forecast) periods of impending financial crises. Complementarily, physical interbank trading networks serve to identify weakening interconnectedness in the interbank system that may lead to liquidity problems.</w:t>
      </w:r>
      <w:r w:rsidR="00CA6872">
        <w:rPr>
          <w:sz w:val="24"/>
          <w:szCs w:val="24"/>
        </w:rPr>
        <w:t xml:space="preserve"> Moreover, physical networks can identify </w:t>
      </w:r>
      <w:r w:rsidR="00CA6872" w:rsidRPr="00C74A1C">
        <w:rPr>
          <w:sz w:val="24"/>
          <w:szCs w:val="24"/>
        </w:rPr>
        <w:t xml:space="preserve">systemically important </w:t>
      </w:r>
      <w:r w:rsidR="00CA6872">
        <w:rPr>
          <w:sz w:val="24"/>
          <w:szCs w:val="24"/>
        </w:rPr>
        <w:t>and</w:t>
      </w:r>
      <w:r w:rsidR="00CA6872" w:rsidRPr="00C74A1C">
        <w:rPr>
          <w:sz w:val="24"/>
          <w:szCs w:val="24"/>
        </w:rPr>
        <w:t xml:space="preserve"> problem banks </w:t>
      </w:r>
      <w:r w:rsidR="00CA6872">
        <w:rPr>
          <w:sz w:val="24"/>
          <w:szCs w:val="24"/>
        </w:rPr>
        <w:t xml:space="preserve">on an on-going basis. </w:t>
      </w:r>
      <w:r w:rsidR="00446B01">
        <w:rPr>
          <w:sz w:val="24"/>
          <w:szCs w:val="24"/>
        </w:rPr>
        <w:t xml:space="preserve">From a policy perspective, </w:t>
      </w:r>
      <w:r w:rsidR="00CA6872">
        <w:rPr>
          <w:sz w:val="24"/>
          <w:szCs w:val="24"/>
        </w:rPr>
        <w:t xml:space="preserve">monitoring </w:t>
      </w:r>
      <w:r w:rsidR="00446B01">
        <w:rPr>
          <w:sz w:val="24"/>
          <w:szCs w:val="24"/>
        </w:rPr>
        <w:t xml:space="preserve">both types of networks can be useful. </w:t>
      </w:r>
      <w:r w:rsidR="00D20A49" w:rsidRPr="00C74A1C">
        <w:rPr>
          <w:sz w:val="24"/>
          <w:szCs w:val="24"/>
        </w:rPr>
        <w:t xml:space="preserve"> </w:t>
      </w:r>
    </w:p>
    <w:p w14:paraId="25EF944D" w14:textId="6C639C9D" w:rsidR="00536CE3" w:rsidRPr="00C74A1C" w:rsidRDefault="00536CE3" w:rsidP="00666397">
      <w:pPr>
        <w:pStyle w:val="ListParagraph"/>
        <w:spacing w:line="480" w:lineRule="auto"/>
        <w:ind w:left="0" w:firstLine="720"/>
        <w:rPr>
          <w:sz w:val="24"/>
          <w:szCs w:val="24"/>
        </w:rPr>
      </w:pPr>
    </w:p>
    <w:p w14:paraId="1C3D8876" w14:textId="77777777" w:rsidR="001C78BE" w:rsidRDefault="001C78BE" w:rsidP="00B26E0F">
      <w:r>
        <w:br w:type="page"/>
      </w:r>
    </w:p>
    <w:p w14:paraId="50AEF758" w14:textId="77777777" w:rsidR="002A0283" w:rsidRPr="002253A7" w:rsidRDefault="002A0283" w:rsidP="002A0283">
      <w:pPr>
        <w:spacing w:line="360" w:lineRule="auto"/>
        <w:ind w:left="720"/>
        <w:contextualSpacing/>
        <w:rPr>
          <w:rFonts w:eastAsia="Calibri" w:cs="Times New Roman"/>
          <w:sz w:val="28"/>
          <w:szCs w:val="28"/>
        </w:rPr>
      </w:pPr>
      <w:r w:rsidRPr="002253A7">
        <w:rPr>
          <w:rFonts w:eastAsia="Calibri" w:cs="Times New Roman"/>
          <w:sz w:val="28"/>
          <w:szCs w:val="28"/>
        </w:rPr>
        <w:lastRenderedPageBreak/>
        <w:t xml:space="preserve">References </w:t>
      </w:r>
    </w:p>
    <w:p w14:paraId="6353CE06" w14:textId="77777777" w:rsidR="002A0283" w:rsidRDefault="002A0283" w:rsidP="00590E71">
      <w:pPr>
        <w:ind w:left="720" w:hanging="720"/>
        <w:rPr>
          <w:rFonts w:eastAsia="Calibri" w:cs="Times New Roman"/>
          <w:sz w:val="20"/>
          <w:szCs w:val="20"/>
        </w:rPr>
      </w:pPr>
      <w:r w:rsidRPr="002253A7">
        <w:rPr>
          <w:rFonts w:eastAsia="Calibri" w:cs="Times New Roman"/>
          <w:sz w:val="20"/>
          <w:szCs w:val="20"/>
        </w:rPr>
        <w:t xml:space="preserve">Acemoglu, D., O. Asuman and A. Tahbaz-Salehi, 2013. Systemic Risk and Stability in Financial Networks. </w:t>
      </w:r>
      <w:r w:rsidRPr="002253A7">
        <w:rPr>
          <w:rFonts w:eastAsia="Calibri" w:cs="Times New Roman"/>
          <w:i/>
          <w:sz w:val="20"/>
          <w:szCs w:val="20"/>
        </w:rPr>
        <w:t xml:space="preserve"> NBER Working Paper, </w:t>
      </w:r>
      <w:r w:rsidRPr="002253A7">
        <w:rPr>
          <w:rFonts w:eastAsia="Calibri" w:cs="Times New Roman"/>
          <w:sz w:val="20"/>
          <w:szCs w:val="20"/>
        </w:rPr>
        <w:t>No. 18727</w:t>
      </w:r>
    </w:p>
    <w:p w14:paraId="21139AF7" w14:textId="77777777" w:rsidR="002A0283" w:rsidRPr="002253A7" w:rsidRDefault="002A0283" w:rsidP="002A0283">
      <w:pPr>
        <w:rPr>
          <w:rFonts w:eastAsia="Calibri" w:cs="Times New Roman"/>
          <w:sz w:val="20"/>
          <w:szCs w:val="20"/>
        </w:rPr>
      </w:pPr>
    </w:p>
    <w:p w14:paraId="082CC6F5" w14:textId="77777777" w:rsidR="002A0283" w:rsidRPr="002253A7" w:rsidRDefault="002A0283" w:rsidP="00590E71">
      <w:pPr>
        <w:ind w:left="720" w:hanging="720"/>
        <w:rPr>
          <w:rFonts w:eastAsia="Calibri" w:cs="Times New Roman"/>
          <w:sz w:val="20"/>
          <w:szCs w:val="20"/>
        </w:rPr>
      </w:pPr>
      <w:r w:rsidRPr="002253A7">
        <w:rPr>
          <w:rFonts w:eastAsia="Calibri" w:cs="Times New Roman"/>
          <w:sz w:val="20"/>
          <w:szCs w:val="20"/>
        </w:rPr>
        <w:t xml:space="preserve">Acharya, V., L.H. Pedersen, T. Philippon, and M. P. Richardson, 2010. </w:t>
      </w:r>
      <w:r w:rsidRPr="002253A7">
        <w:rPr>
          <w:rFonts w:eastAsia="Calibri" w:cs="Times New Roman"/>
          <w:i/>
          <w:sz w:val="20"/>
          <w:szCs w:val="20"/>
        </w:rPr>
        <w:t>FRB of Cleveland Working Paper</w:t>
      </w:r>
      <w:r w:rsidRPr="002253A7">
        <w:rPr>
          <w:rFonts w:eastAsia="Calibri" w:cs="Times New Roman"/>
          <w:sz w:val="20"/>
          <w:szCs w:val="20"/>
        </w:rPr>
        <w:t xml:space="preserve"> No. 10-02</w:t>
      </w:r>
    </w:p>
    <w:p w14:paraId="38D95496" w14:textId="77777777" w:rsidR="002A0283" w:rsidRPr="002253A7" w:rsidRDefault="002A0283" w:rsidP="002A0283">
      <w:pPr>
        <w:ind w:left="720" w:hanging="720"/>
        <w:contextualSpacing/>
        <w:rPr>
          <w:rFonts w:eastAsia="Calibri" w:cs="Times New Roman"/>
        </w:rPr>
      </w:pPr>
    </w:p>
    <w:p w14:paraId="048EBF16" w14:textId="0BF3DD46" w:rsidR="002A0283" w:rsidRPr="002253A7" w:rsidRDefault="002A0283" w:rsidP="00590E71">
      <w:pPr>
        <w:ind w:left="720" w:hanging="720"/>
        <w:rPr>
          <w:rFonts w:eastAsia="Calibri" w:cs="Times New Roman"/>
          <w:sz w:val="20"/>
          <w:szCs w:val="20"/>
        </w:rPr>
      </w:pPr>
      <w:r w:rsidRPr="002253A7">
        <w:rPr>
          <w:rFonts w:eastAsia="Calibri" w:cs="Times New Roman"/>
          <w:sz w:val="20"/>
          <w:szCs w:val="20"/>
        </w:rPr>
        <w:t>Ac</w:t>
      </w:r>
      <w:r w:rsidR="00590E71">
        <w:rPr>
          <w:rFonts w:eastAsia="Calibri" w:cs="Times New Roman"/>
          <w:sz w:val="20"/>
          <w:szCs w:val="20"/>
        </w:rPr>
        <w:t xml:space="preserve">harya V., T. Yorulmazer, 2008. </w:t>
      </w:r>
      <w:r w:rsidR="005D67C7" w:rsidRPr="005D67C7">
        <w:rPr>
          <w:rFonts w:eastAsia="Calibri" w:cs="Times New Roman"/>
          <w:sz w:val="20"/>
          <w:szCs w:val="20"/>
        </w:rPr>
        <w:t xml:space="preserve">Cash-in-the-Market Pricing and Optimal Resolution of Bank Failures, </w:t>
      </w:r>
      <w:r w:rsidR="005D67C7" w:rsidRPr="005D67C7">
        <w:rPr>
          <w:rFonts w:eastAsia="Calibri" w:cs="Times New Roman"/>
          <w:i/>
          <w:sz w:val="20"/>
          <w:szCs w:val="20"/>
        </w:rPr>
        <w:t>Review of Financial Studies</w:t>
      </w:r>
      <w:r w:rsidR="005D67C7">
        <w:rPr>
          <w:rFonts w:eastAsia="Calibri" w:cs="Times New Roman"/>
          <w:sz w:val="20"/>
          <w:szCs w:val="20"/>
        </w:rPr>
        <w:t xml:space="preserve"> </w:t>
      </w:r>
      <w:r w:rsidR="00590E71">
        <w:rPr>
          <w:rFonts w:eastAsia="Calibri" w:cs="Times New Roman"/>
          <w:sz w:val="20"/>
          <w:szCs w:val="20"/>
        </w:rPr>
        <w:t>21</w:t>
      </w:r>
      <w:r w:rsidRPr="002253A7">
        <w:rPr>
          <w:rFonts w:eastAsia="Calibri" w:cs="Times New Roman"/>
          <w:sz w:val="20"/>
          <w:szCs w:val="20"/>
        </w:rPr>
        <w:t xml:space="preserve">, </w:t>
      </w:r>
      <w:r>
        <w:rPr>
          <w:rFonts w:eastAsia="Calibri" w:cs="Times New Roman"/>
          <w:sz w:val="20"/>
          <w:szCs w:val="20"/>
        </w:rPr>
        <w:t>2705-</w:t>
      </w:r>
      <w:r w:rsidRPr="005D67C7">
        <w:rPr>
          <w:rFonts w:eastAsia="Calibri" w:cs="Times New Roman"/>
          <w:sz w:val="20"/>
          <w:szCs w:val="20"/>
        </w:rPr>
        <w:t>2742.</w:t>
      </w:r>
    </w:p>
    <w:p w14:paraId="73455221" w14:textId="77777777" w:rsidR="002A0283" w:rsidRPr="002253A7" w:rsidRDefault="002A0283" w:rsidP="002A0283">
      <w:pPr>
        <w:rPr>
          <w:rFonts w:eastAsia="Times New Roman" w:cs="Times New Roman"/>
        </w:rPr>
      </w:pPr>
    </w:p>
    <w:p w14:paraId="456CC375" w14:textId="2ED31B47" w:rsidR="002A0283" w:rsidRPr="002253A7" w:rsidRDefault="002A0283" w:rsidP="00590E71">
      <w:pPr>
        <w:ind w:left="720" w:hanging="720"/>
        <w:rPr>
          <w:rFonts w:eastAsia="Times New Roman" w:cs="Times New Roman"/>
        </w:rPr>
      </w:pPr>
      <w:r w:rsidRPr="002253A7">
        <w:rPr>
          <w:rFonts w:eastAsia="Times New Roman" w:cs="Times New Roman"/>
        </w:rPr>
        <w:t xml:space="preserve">Achlioptas, D., Clauset, A., Kempe, D., &amp; Moore, C. (2009). On the bias of traceroute sampling: Or, power-law degree distributions in regular graphs. </w:t>
      </w:r>
      <w:r w:rsidR="00590E71">
        <w:rPr>
          <w:rFonts w:eastAsia="Times New Roman" w:cs="Times New Roman"/>
          <w:i/>
          <w:iCs/>
        </w:rPr>
        <w:t xml:space="preserve">Journal of the ACM </w:t>
      </w:r>
      <w:r w:rsidRPr="00590E71">
        <w:rPr>
          <w:rFonts w:eastAsia="Times New Roman" w:cs="Times New Roman"/>
          <w:iCs/>
        </w:rPr>
        <w:t>56</w:t>
      </w:r>
      <w:r w:rsidRPr="00590E71">
        <w:rPr>
          <w:rFonts w:eastAsia="Times New Roman" w:cs="Times New Roman"/>
        </w:rPr>
        <w:t>,</w:t>
      </w:r>
      <w:r w:rsidRPr="002253A7">
        <w:rPr>
          <w:rFonts w:eastAsia="Times New Roman" w:cs="Times New Roman"/>
        </w:rPr>
        <w:t xml:space="preserve"> 21.</w:t>
      </w:r>
    </w:p>
    <w:p w14:paraId="789348ED" w14:textId="77777777" w:rsidR="002A0283" w:rsidRPr="002253A7" w:rsidRDefault="002A0283" w:rsidP="002A0283">
      <w:pPr>
        <w:ind w:left="720" w:hanging="720"/>
        <w:contextualSpacing/>
        <w:rPr>
          <w:rFonts w:eastAsia="Calibri" w:cs="Times New Roman"/>
        </w:rPr>
      </w:pPr>
    </w:p>
    <w:p w14:paraId="45619BBE" w14:textId="30060AA2" w:rsidR="002A0283" w:rsidRPr="002253A7" w:rsidRDefault="002A0283" w:rsidP="002A0283">
      <w:pPr>
        <w:ind w:left="720" w:hanging="720"/>
        <w:contextualSpacing/>
        <w:rPr>
          <w:rFonts w:eastAsia="Calibri" w:cs="Times New Roman"/>
        </w:rPr>
      </w:pPr>
      <w:r w:rsidRPr="002253A7">
        <w:rPr>
          <w:rFonts w:eastAsia="Calibri" w:cs="Times New Roman"/>
        </w:rPr>
        <w:t xml:space="preserve">Adrian, T. and H-S. Shin, 2010. Liquidity and Leverage. </w:t>
      </w:r>
      <w:r w:rsidRPr="002253A7">
        <w:rPr>
          <w:rFonts w:eastAsia="Calibri" w:cs="Times New Roman"/>
          <w:i/>
        </w:rPr>
        <w:t>Journal of Financial Intermediation</w:t>
      </w:r>
      <w:r w:rsidRPr="002253A7">
        <w:rPr>
          <w:rFonts w:eastAsia="Calibri" w:cs="Times New Roman"/>
        </w:rPr>
        <w:t xml:space="preserve"> 19, 418-437.</w:t>
      </w:r>
    </w:p>
    <w:p w14:paraId="4CA09460" w14:textId="77777777" w:rsidR="002A0283" w:rsidRPr="002253A7" w:rsidRDefault="002A0283" w:rsidP="002A0283">
      <w:pPr>
        <w:ind w:left="720" w:hanging="720"/>
        <w:contextualSpacing/>
        <w:rPr>
          <w:rFonts w:eastAsia="Calibri" w:cs="Times New Roman"/>
        </w:rPr>
      </w:pPr>
    </w:p>
    <w:p w14:paraId="4769043C" w14:textId="77777777" w:rsidR="002A0283" w:rsidRPr="002253A7" w:rsidRDefault="002A0283" w:rsidP="002A0283">
      <w:pPr>
        <w:ind w:left="720" w:hanging="720"/>
        <w:contextualSpacing/>
        <w:rPr>
          <w:rFonts w:eastAsia="Calibri" w:cs="Times New Roman"/>
        </w:rPr>
      </w:pPr>
      <w:r>
        <w:rPr>
          <w:rFonts w:eastAsia="Calibri" w:cs="Times New Roman"/>
        </w:rPr>
        <w:t>Allen</w:t>
      </w:r>
      <w:r w:rsidRPr="002253A7">
        <w:rPr>
          <w:rFonts w:eastAsia="Calibri" w:cs="Times New Roman"/>
        </w:rPr>
        <w:t xml:space="preserve">, F., and A. Babus, 2010. Networks in Finance. In </w:t>
      </w:r>
      <w:r w:rsidRPr="002253A7">
        <w:rPr>
          <w:rFonts w:eastAsia="Calibri" w:cs="Times New Roman"/>
          <w:i/>
        </w:rPr>
        <w:t>Network-based Strategies and Competencies</w:t>
      </w:r>
      <w:r w:rsidRPr="002253A7">
        <w:rPr>
          <w:rFonts w:eastAsia="Calibri" w:cs="Times New Roman"/>
        </w:rPr>
        <w:t>, edited by Paul Kleindorfer and Jerry Wind, Wharton School Publishing.</w:t>
      </w:r>
    </w:p>
    <w:p w14:paraId="22D45813" w14:textId="77777777" w:rsidR="002A0283" w:rsidRPr="002253A7" w:rsidRDefault="002A0283" w:rsidP="002A0283">
      <w:pPr>
        <w:ind w:left="720" w:hanging="720"/>
        <w:contextualSpacing/>
        <w:rPr>
          <w:rFonts w:eastAsia="Calibri" w:cs="Times New Roman"/>
        </w:rPr>
      </w:pPr>
    </w:p>
    <w:p w14:paraId="4743A86B" w14:textId="11F2F0A1" w:rsidR="002A0283" w:rsidRPr="002253A7" w:rsidRDefault="002A0283" w:rsidP="002A0283">
      <w:pPr>
        <w:ind w:left="720" w:hanging="720"/>
        <w:contextualSpacing/>
        <w:rPr>
          <w:rFonts w:eastAsia="Calibri" w:cs="Times New Roman"/>
        </w:rPr>
      </w:pPr>
      <w:r w:rsidRPr="002253A7">
        <w:rPr>
          <w:rFonts w:eastAsia="Calibri" w:cs="Times New Roman"/>
        </w:rPr>
        <w:t xml:space="preserve">Allen, F. and D. Gale, 2000. Financial Contagion. </w:t>
      </w:r>
      <w:r w:rsidRPr="002253A7">
        <w:rPr>
          <w:rFonts w:eastAsia="Calibri" w:cs="Times New Roman"/>
          <w:i/>
        </w:rPr>
        <w:t>Journal of Political Economy</w:t>
      </w:r>
      <w:r w:rsidRPr="002253A7">
        <w:rPr>
          <w:rFonts w:eastAsia="Calibri" w:cs="Times New Roman"/>
        </w:rPr>
        <w:t xml:space="preserve"> 108, 1-33.</w:t>
      </w:r>
    </w:p>
    <w:p w14:paraId="09A0F0B5" w14:textId="77777777" w:rsidR="002A0283" w:rsidRPr="002253A7" w:rsidRDefault="002A0283" w:rsidP="002A0283">
      <w:pPr>
        <w:ind w:left="720" w:hanging="720"/>
        <w:contextualSpacing/>
        <w:rPr>
          <w:rFonts w:eastAsia="Calibri" w:cs="Times New Roman"/>
        </w:rPr>
      </w:pPr>
    </w:p>
    <w:p w14:paraId="7E3F0F71" w14:textId="77777777" w:rsidR="002A0283" w:rsidRPr="002253A7" w:rsidRDefault="002A0283" w:rsidP="002A0283">
      <w:pPr>
        <w:ind w:left="720" w:hanging="720"/>
        <w:contextualSpacing/>
        <w:rPr>
          <w:rFonts w:eastAsia="Calibri" w:cs="Times New Roman"/>
        </w:rPr>
      </w:pPr>
      <w:r w:rsidRPr="002253A7">
        <w:rPr>
          <w:rFonts w:eastAsia="Calibri" w:cs="Times New Roman"/>
        </w:rPr>
        <w:t>Allen, F., A. Babus and E. Carletti, 2010. Financial Connections and Systemic Risk. National Bureau of Economic Research, working paper 11177.</w:t>
      </w:r>
    </w:p>
    <w:p w14:paraId="54404B06" w14:textId="77777777" w:rsidR="002A0283" w:rsidRPr="002253A7" w:rsidRDefault="002A0283" w:rsidP="002A0283">
      <w:pPr>
        <w:ind w:left="720" w:hanging="720"/>
        <w:contextualSpacing/>
        <w:rPr>
          <w:rFonts w:eastAsia="Calibri" w:cs="Times New Roman"/>
        </w:rPr>
      </w:pPr>
    </w:p>
    <w:p w14:paraId="418B1174" w14:textId="4FF8AC33" w:rsidR="002A0283" w:rsidRPr="002253A7" w:rsidRDefault="002A0283" w:rsidP="002A0283">
      <w:pPr>
        <w:ind w:left="720" w:hanging="720"/>
        <w:contextualSpacing/>
        <w:rPr>
          <w:rFonts w:eastAsia="Times New Roman" w:cs="Times New Roman"/>
        </w:rPr>
      </w:pPr>
      <w:r w:rsidRPr="002253A7">
        <w:rPr>
          <w:rFonts w:eastAsia="Times New Roman" w:cs="Times New Roman"/>
        </w:rPr>
        <w:t xml:space="preserve">Bańbura, M., and G. Rünstler, 2011. A look into the factor model black box: publication lags and the role of hard and soft data in forecasting GDP. </w:t>
      </w:r>
      <w:r w:rsidRPr="002253A7">
        <w:rPr>
          <w:rFonts w:eastAsia="Times New Roman" w:cs="Times New Roman"/>
          <w:i/>
        </w:rPr>
        <w:t>International Journal of Forecasting</w:t>
      </w:r>
      <w:r w:rsidRPr="002253A7">
        <w:rPr>
          <w:rFonts w:eastAsia="Times New Roman" w:cs="Times New Roman"/>
        </w:rPr>
        <w:t xml:space="preserve"> 27, 333-346. </w:t>
      </w:r>
    </w:p>
    <w:p w14:paraId="0F2954AD" w14:textId="77777777" w:rsidR="002A0283" w:rsidRPr="002253A7" w:rsidRDefault="002A0283" w:rsidP="002A0283">
      <w:pPr>
        <w:ind w:left="720" w:hanging="720"/>
        <w:contextualSpacing/>
        <w:rPr>
          <w:rFonts w:eastAsia="Times New Roman" w:cs="Times New Roman"/>
        </w:rPr>
      </w:pPr>
    </w:p>
    <w:p w14:paraId="3FA239E7" w14:textId="77777777" w:rsidR="002A0283" w:rsidRPr="002253A7" w:rsidRDefault="002A0283" w:rsidP="002A0283">
      <w:pPr>
        <w:ind w:left="720" w:hanging="720"/>
        <w:contextualSpacing/>
        <w:rPr>
          <w:rFonts w:eastAsia="Times New Roman" w:cs="Times New Roman"/>
        </w:rPr>
      </w:pPr>
      <w:r w:rsidRPr="002253A7">
        <w:rPr>
          <w:rFonts w:eastAsia="Times New Roman" w:cs="Times New Roman"/>
        </w:rPr>
        <w:t xml:space="preserve">Barigozzi,, M. and C. T. Brownlees, NETS: Network Estimation for Time Series (May 18, 2014). Available at SSRN: http://ssrn.com/abstract=2249909 or </w:t>
      </w:r>
      <w:hyperlink r:id="rId12" w:history="1">
        <w:r w:rsidRPr="002253A7">
          <w:rPr>
            <w:rFonts w:eastAsia="Times New Roman" w:cs="Times New Roman"/>
            <w:color w:val="0000FF"/>
            <w:u w:val="single"/>
          </w:rPr>
          <w:t>http://dx.doi.org/10.2139/ssrn.2249909</w:t>
        </w:r>
      </w:hyperlink>
    </w:p>
    <w:p w14:paraId="4D943094" w14:textId="77777777" w:rsidR="002A0283" w:rsidRPr="002253A7" w:rsidRDefault="002A0283" w:rsidP="002A0283">
      <w:pPr>
        <w:ind w:left="720" w:hanging="720"/>
        <w:contextualSpacing/>
        <w:rPr>
          <w:rFonts w:eastAsia="Times New Roman" w:cs="Times New Roman"/>
        </w:rPr>
      </w:pPr>
    </w:p>
    <w:p w14:paraId="4918798D" w14:textId="6B8B0982" w:rsidR="002A0283" w:rsidRPr="002253A7" w:rsidRDefault="002A0283" w:rsidP="002A0283">
      <w:pPr>
        <w:ind w:left="720" w:hanging="720"/>
        <w:contextualSpacing/>
        <w:rPr>
          <w:rFonts w:eastAsia="Calibri" w:cs="Times New Roman"/>
        </w:rPr>
      </w:pPr>
      <w:r w:rsidRPr="002253A7">
        <w:rPr>
          <w:rFonts w:eastAsia="Calibri" w:cs="Times New Roman"/>
        </w:rPr>
        <w:t xml:space="preserve">Billio, M., M. Getmansky, A. Lo and A. Pelizzon, 2012. Econometric measures of connectedness and systemic risk in the finance and insurance sectors. </w:t>
      </w:r>
      <w:r w:rsidRPr="002253A7">
        <w:rPr>
          <w:rFonts w:eastAsia="Calibri" w:cs="Times New Roman"/>
          <w:i/>
        </w:rPr>
        <w:t>Journal of Financial Economics</w:t>
      </w:r>
      <w:r w:rsidRPr="002253A7">
        <w:rPr>
          <w:rFonts w:eastAsia="Calibri" w:cs="Times New Roman"/>
        </w:rPr>
        <w:t xml:space="preserve"> 104, 535-559.</w:t>
      </w:r>
    </w:p>
    <w:p w14:paraId="4AFC039E" w14:textId="77777777" w:rsidR="002A0283" w:rsidRPr="002253A7" w:rsidRDefault="002A0283" w:rsidP="002A0283">
      <w:pPr>
        <w:ind w:left="720" w:hanging="720"/>
        <w:contextualSpacing/>
        <w:rPr>
          <w:rFonts w:eastAsia="Calibri" w:cs="Times New Roman"/>
        </w:rPr>
      </w:pPr>
    </w:p>
    <w:p w14:paraId="4123A5BB" w14:textId="04B69551" w:rsidR="002A0283" w:rsidRPr="002253A7" w:rsidRDefault="002A0283" w:rsidP="002A0283">
      <w:pPr>
        <w:rPr>
          <w:rFonts w:eastAsia="Calibri" w:cs="Times New Roman"/>
        </w:rPr>
      </w:pPr>
      <w:r w:rsidRPr="002253A7">
        <w:rPr>
          <w:rFonts w:eastAsia="Calibri" w:cs="Times New Roman"/>
        </w:rPr>
        <w:t xml:space="preserve">Bloom, N., 2009. The impact of uncertainty shocks. </w:t>
      </w:r>
      <w:r w:rsidRPr="002253A7">
        <w:rPr>
          <w:rFonts w:eastAsia="Calibri" w:cs="Times New Roman"/>
          <w:i/>
        </w:rPr>
        <w:t>Econometrica</w:t>
      </w:r>
      <w:r w:rsidRPr="002253A7">
        <w:rPr>
          <w:rFonts w:eastAsia="Calibri" w:cs="Times New Roman"/>
        </w:rPr>
        <w:t xml:space="preserve"> 77, 623-685.</w:t>
      </w:r>
    </w:p>
    <w:p w14:paraId="0F99CEE7" w14:textId="77777777" w:rsidR="002A0283" w:rsidRPr="002253A7" w:rsidRDefault="002A0283" w:rsidP="002A0283">
      <w:pPr>
        <w:ind w:left="720" w:hanging="720"/>
        <w:contextualSpacing/>
        <w:rPr>
          <w:rFonts w:eastAsia="Calibri" w:cs="Times New Roman"/>
        </w:rPr>
      </w:pPr>
    </w:p>
    <w:p w14:paraId="1AA330D6" w14:textId="77777777" w:rsidR="002A0283" w:rsidRPr="002253A7" w:rsidRDefault="002A0283" w:rsidP="002A0283">
      <w:pPr>
        <w:ind w:left="720" w:hanging="720"/>
        <w:contextualSpacing/>
        <w:rPr>
          <w:rFonts w:eastAsia="Calibri" w:cs="Times New Roman"/>
        </w:rPr>
      </w:pPr>
      <w:r w:rsidRPr="002253A7">
        <w:rPr>
          <w:rFonts w:eastAsia="Calibri" w:cs="Times New Roman"/>
        </w:rPr>
        <w:t>Braverman, A. and A. Minca, Networks of Common Asset Holdings: Aggregation and Measures of Vulnerability (January 17, 2014). Available at SSRN: http://ssrn.com/abstract=2379669 or http://dx.doi.org/10.2139/ssrn.2379669</w:t>
      </w:r>
    </w:p>
    <w:p w14:paraId="01954F13" w14:textId="77777777" w:rsidR="002A0283" w:rsidRPr="002253A7" w:rsidRDefault="002A0283" w:rsidP="002A0283">
      <w:pPr>
        <w:contextualSpacing/>
        <w:rPr>
          <w:rFonts w:eastAsia="Calibri" w:cs="Times New Roman"/>
        </w:rPr>
      </w:pPr>
    </w:p>
    <w:p w14:paraId="58072A66" w14:textId="66FCA0ED" w:rsidR="002A0283" w:rsidRPr="002253A7" w:rsidRDefault="002A0283" w:rsidP="002A0283">
      <w:pPr>
        <w:ind w:left="720" w:hanging="720"/>
        <w:contextualSpacing/>
        <w:rPr>
          <w:rFonts w:eastAsia="Calibri" w:cs="Times New Roman"/>
        </w:rPr>
      </w:pPr>
      <w:r w:rsidRPr="002253A7">
        <w:rPr>
          <w:rFonts w:eastAsia="Calibri" w:cs="Times New Roman"/>
        </w:rPr>
        <w:t xml:space="preserve">Brunetti, C., M. di Fillippo and J. H. Harris, 2011. Effects of Central Bank Intervention on the Interbank Market during the Sub-Prime Crisis. </w:t>
      </w:r>
      <w:r w:rsidRPr="002253A7">
        <w:rPr>
          <w:rFonts w:eastAsia="Calibri" w:cs="Times New Roman"/>
          <w:i/>
        </w:rPr>
        <w:t>Review of Financial Studies</w:t>
      </w:r>
      <w:r w:rsidRPr="002253A7">
        <w:rPr>
          <w:rFonts w:eastAsia="Calibri" w:cs="Times New Roman"/>
        </w:rPr>
        <w:t xml:space="preserve"> 24, 2053-2083.</w:t>
      </w:r>
    </w:p>
    <w:p w14:paraId="25F26220" w14:textId="77777777" w:rsidR="002A0283" w:rsidRPr="002253A7" w:rsidRDefault="002A0283" w:rsidP="002A0283">
      <w:pPr>
        <w:ind w:left="720" w:hanging="720"/>
        <w:contextualSpacing/>
        <w:rPr>
          <w:rFonts w:eastAsia="Calibri" w:cs="Times New Roman"/>
        </w:rPr>
      </w:pPr>
    </w:p>
    <w:p w14:paraId="5EAB271C" w14:textId="2963F176" w:rsidR="002A0283" w:rsidRDefault="002A0283" w:rsidP="002A0283">
      <w:pPr>
        <w:ind w:left="720" w:hanging="720"/>
        <w:contextualSpacing/>
        <w:rPr>
          <w:rFonts w:eastAsia="Calibri" w:cs="Times New Roman"/>
        </w:rPr>
      </w:pPr>
      <w:r w:rsidRPr="002253A7">
        <w:rPr>
          <w:rFonts w:eastAsia="Calibri" w:cs="Times New Roman"/>
        </w:rPr>
        <w:lastRenderedPageBreak/>
        <w:t xml:space="preserve">Cabrales, A., P. Gottardi, and F. Vega-Redondo, 2014. Risk-sharing and Contagion in Networks (March 16, 2014). CESifo Working Paper Series No. 4715. Available at SSRN: </w:t>
      </w:r>
      <w:hyperlink r:id="rId13" w:history="1">
        <w:r w:rsidR="00590E71" w:rsidRPr="002A5AFC">
          <w:rPr>
            <w:rStyle w:val="Hyperlink"/>
            <w:rFonts w:eastAsia="Calibri" w:cs="Times New Roman"/>
          </w:rPr>
          <w:t>http://ssrn.com/abstract=2425558</w:t>
        </w:r>
      </w:hyperlink>
      <w:r w:rsidRPr="002253A7">
        <w:rPr>
          <w:rFonts w:eastAsia="Calibri" w:cs="Times New Roman"/>
        </w:rPr>
        <w:t>.</w:t>
      </w:r>
    </w:p>
    <w:p w14:paraId="6A12FD4B" w14:textId="77777777" w:rsidR="00590E71" w:rsidRPr="002253A7" w:rsidRDefault="00590E71" w:rsidP="002A0283">
      <w:pPr>
        <w:ind w:left="720" w:hanging="720"/>
        <w:contextualSpacing/>
        <w:rPr>
          <w:rFonts w:eastAsia="Calibri" w:cs="Times New Roman"/>
        </w:rPr>
      </w:pPr>
    </w:p>
    <w:p w14:paraId="670853EE" w14:textId="77777777" w:rsidR="002A0283" w:rsidRPr="002253A7" w:rsidRDefault="002A0283" w:rsidP="002A0283">
      <w:pPr>
        <w:ind w:left="720" w:hanging="720"/>
        <w:contextualSpacing/>
        <w:rPr>
          <w:rFonts w:eastAsia="Calibri" w:cs="Times New Roman"/>
        </w:rPr>
      </w:pPr>
      <w:r w:rsidRPr="002253A7">
        <w:rPr>
          <w:rFonts w:eastAsia="Calibri" w:cs="Times New Roman"/>
        </w:rPr>
        <w:t xml:space="preserve">Caccioli, F., J.D. Farmer, N. Foti and D. Rockmore, 2013. How interbank lending amplifies overlapping portfolio contagion: A case study of the Austrian banking network. </w:t>
      </w:r>
      <w:r w:rsidRPr="002253A7">
        <w:rPr>
          <w:rFonts w:eastAsia="Calibri" w:cs="Times New Roman"/>
          <w:i/>
        </w:rPr>
        <w:t>arXiv preprint,</w:t>
      </w:r>
      <w:r w:rsidRPr="002253A7">
        <w:rPr>
          <w:rFonts w:eastAsia="Calibri" w:cs="Times New Roman"/>
        </w:rPr>
        <w:t xml:space="preserve"> arXiv:1306.3704.</w:t>
      </w:r>
    </w:p>
    <w:p w14:paraId="4588CDD8" w14:textId="77777777" w:rsidR="002A0283" w:rsidRPr="002253A7" w:rsidRDefault="002A0283" w:rsidP="002A0283">
      <w:pPr>
        <w:ind w:left="720" w:hanging="720"/>
        <w:contextualSpacing/>
        <w:rPr>
          <w:rFonts w:eastAsia="Calibri" w:cs="Times New Roman"/>
        </w:rPr>
      </w:pPr>
    </w:p>
    <w:p w14:paraId="34902995" w14:textId="29923BF5" w:rsidR="002A0283" w:rsidRPr="002253A7" w:rsidRDefault="002A0283" w:rsidP="00590E71">
      <w:pPr>
        <w:ind w:left="810" w:hanging="810"/>
        <w:rPr>
          <w:rFonts w:eastAsia="Times New Roman" w:cs="Times New Roman"/>
        </w:rPr>
      </w:pPr>
      <w:r w:rsidRPr="002253A7">
        <w:rPr>
          <w:rFonts w:eastAsia="Times New Roman" w:cs="Times New Roman"/>
        </w:rPr>
        <w:t xml:space="preserve">Chandrasekaran, V., Parrilo, P. A., &amp; Willsky, A. S. (2012). Latent Variable Graphical Model Selection via Convex Optimization. </w:t>
      </w:r>
      <w:r w:rsidRPr="002253A7">
        <w:rPr>
          <w:rFonts w:eastAsia="Times New Roman" w:cs="Times New Roman"/>
          <w:i/>
          <w:iCs/>
        </w:rPr>
        <w:t>Annals of Statistics</w:t>
      </w:r>
      <w:r w:rsidRPr="002253A7">
        <w:rPr>
          <w:rFonts w:eastAsia="Times New Roman" w:cs="Times New Roman"/>
        </w:rPr>
        <w:t xml:space="preserve"> </w:t>
      </w:r>
      <w:r w:rsidRPr="00590E71">
        <w:rPr>
          <w:rFonts w:eastAsia="Times New Roman" w:cs="Times New Roman"/>
          <w:iCs/>
        </w:rPr>
        <w:t>40</w:t>
      </w:r>
      <w:r w:rsidRPr="00590E71">
        <w:rPr>
          <w:rFonts w:eastAsia="Times New Roman" w:cs="Times New Roman"/>
        </w:rPr>
        <w:t>,</w:t>
      </w:r>
      <w:r w:rsidRPr="002253A7">
        <w:rPr>
          <w:rFonts w:eastAsia="Times New Roman" w:cs="Times New Roman"/>
        </w:rPr>
        <w:t xml:space="preserve"> 1935-1967.</w:t>
      </w:r>
    </w:p>
    <w:p w14:paraId="1997F8AC" w14:textId="77777777" w:rsidR="002A0283" w:rsidRPr="002253A7" w:rsidRDefault="002A0283" w:rsidP="002A0283">
      <w:pPr>
        <w:ind w:left="720" w:hanging="720"/>
        <w:contextualSpacing/>
        <w:rPr>
          <w:rFonts w:eastAsia="Calibri" w:cs="Times New Roman"/>
        </w:rPr>
      </w:pPr>
    </w:p>
    <w:p w14:paraId="762B9328" w14:textId="667EC613" w:rsidR="002A0283" w:rsidRPr="002253A7" w:rsidRDefault="002A0283" w:rsidP="002A0283">
      <w:pPr>
        <w:ind w:left="720" w:hanging="720"/>
        <w:contextualSpacing/>
        <w:rPr>
          <w:rFonts w:eastAsia="Calibri" w:cs="Times New Roman"/>
        </w:rPr>
      </w:pPr>
      <w:r w:rsidRPr="002253A7">
        <w:rPr>
          <w:rFonts w:eastAsia="Calibri" w:cs="Times New Roman"/>
        </w:rPr>
        <w:t xml:space="preserve">Cifuentes, R., C. Ferrucci and H.S. Shin, 2005. Liquidity Risk and Contagion. </w:t>
      </w:r>
      <w:r w:rsidRPr="002253A7">
        <w:rPr>
          <w:rFonts w:eastAsia="Calibri" w:cs="Times New Roman"/>
          <w:i/>
        </w:rPr>
        <w:t>Journal of European Economic Association</w:t>
      </w:r>
      <w:r w:rsidRPr="002253A7">
        <w:rPr>
          <w:rFonts w:eastAsia="Calibri" w:cs="Times New Roman"/>
        </w:rPr>
        <w:t xml:space="preserve"> 3, 556-566.</w:t>
      </w:r>
    </w:p>
    <w:p w14:paraId="00B959F9" w14:textId="77777777" w:rsidR="002A0283" w:rsidRPr="002253A7" w:rsidRDefault="002A0283" w:rsidP="002A0283">
      <w:pPr>
        <w:ind w:left="720" w:hanging="720"/>
        <w:contextualSpacing/>
        <w:rPr>
          <w:rFonts w:eastAsia="Calibri" w:cs="Times New Roman"/>
        </w:rPr>
      </w:pPr>
    </w:p>
    <w:p w14:paraId="61BD636C" w14:textId="77777777" w:rsidR="002A0283" w:rsidRPr="002253A7" w:rsidRDefault="002A0283" w:rsidP="002A0283">
      <w:pPr>
        <w:ind w:left="720" w:hanging="720"/>
        <w:contextualSpacing/>
        <w:rPr>
          <w:rFonts w:eastAsia="Calibri" w:cs="Times New Roman"/>
        </w:rPr>
      </w:pPr>
      <w:r w:rsidRPr="002253A7">
        <w:rPr>
          <w:rFonts w:eastAsia="Calibri" w:cs="Times New Roman"/>
        </w:rPr>
        <w:t xml:space="preserve">Cont, R. and L. Wagalath, Fire Sales Forensics: Measuring Endogenous Risk (May 4, 2012). Available at SSRN: </w:t>
      </w:r>
      <w:hyperlink r:id="rId14" w:tgtFrame="_blank" w:history="1">
        <w:r w:rsidRPr="002253A7">
          <w:rPr>
            <w:rFonts w:eastAsia="Calibri" w:cs="Times New Roman"/>
            <w:color w:val="0000FF"/>
            <w:u w:val="single"/>
          </w:rPr>
          <w:t>http://ssrn.com/abstract=2051013</w:t>
        </w:r>
      </w:hyperlink>
    </w:p>
    <w:p w14:paraId="399C0864" w14:textId="77777777" w:rsidR="002A0283" w:rsidRPr="002253A7" w:rsidRDefault="002A0283" w:rsidP="002A0283">
      <w:pPr>
        <w:ind w:left="720" w:hanging="720"/>
        <w:contextualSpacing/>
        <w:rPr>
          <w:rFonts w:eastAsia="Calibri" w:cs="Times New Roman"/>
        </w:rPr>
      </w:pPr>
    </w:p>
    <w:p w14:paraId="31FAC7AF" w14:textId="067C380C" w:rsidR="002A0283" w:rsidRPr="002253A7" w:rsidRDefault="002A0283" w:rsidP="002A0283">
      <w:pPr>
        <w:ind w:left="720" w:hanging="720"/>
        <w:contextualSpacing/>
        <w:rPr>
          <w:rFonts w:eastAsia="Calibri" w:cs="Times New Roman"/>
        </w:rPr>
      </w:pPr>
      <w:r w:rsidRPr="002253A7">
        <w:rPr>
          <w:rFonts w:eastAsia="Calibri" w:cs="Times New Roman"/>
        </w:rPr>
        <w:t xml:space="preserve">Cont, R. and L. Wagalath, 2013. Running for the Exit: Distressed Selling and Endogenous Correlations in Financial Markets. </w:t>
      </w:r>
      <w:r w:rsidRPr="002253A7">
        <w:rPr>
          <w:rFonts w:eastAsia="Calibri" w:cs="Times New Roman"/>
          <w:i/>
        </w:rPr>
        <w:t>Mathematical Finance</w:t>
      </w:r>
      <w:r w:rsidRPr="002253A7">
        <w:rPr>
          <w:rFonts w:eastAsia="Calibri" w:cs="Times New Roman"/>
        </w:rPr>
        <w:t xml:space="preserve"> 23, 718-741.</w:t>
      </w:r>
    </w:p>
    <w:p w14:paraId="7CCB58DD" w14:textId="77777777" w:rsidR="002A0283" w:rsidRPr="002253A7" w:rsidRDefault="002A0283" w:rsidP="002A0283">
      <w:pPr>
        <w:ind w:left="720" w:hanging="720"/>
        <w:contextualSpacing/>
        <w:rPr>
          <w:rFonts w:eastAsia="Calibri" w:cs="Times New Roman"/>
        </w:rPr>
      </w:pPr>
    </w:p>
    <w:p w14:paraId="201D23C1" w14:textId="77777777" w:rsidR="002A0283" w:rsidRPr="002253A7" w:rsidRDefault="002A0283" w:rsidP="002A0283">
      <w:pPr>
        <w:ind w:left="720" w:hanging="720"/>
        <w:contextualSpacing/>
        <w:rPr>
          <w:rFonts w:eastAsia="Calibri" w:cs="Times New Roman"/>
        </w:rPr>
      </w:pPr>
      <w:r w:rsidRPr="002253A7">
        <w:rPr>
          <w:rFonts w:eastAsia="Calibri" w:cs="Times New Roman"/>
        </w:rPr>
        <w:t xml:space="preserve">Cont, R., A. Moussa and E. B. Santos, 2013. Network Structure and Systemic Risk in Banking Systems. </w:t>
      </w:r>
      <w:r w:rsidRPr="002253A7">
        <w:rPr>
          <w:rFonts w:eastAsia="Calibri" w:cs="Times New Roman"/>
          <w:i/>
        </w:rPr>
        <w:t>Handbook of Systemic Risk</w:t>
      </w:r>
      <w:r w:rsidRPr="002253A7">
        <w:rPr>
          <w:rFonts w:eastAsia="Calibri" w:cs="Times New Roman"/>
        </w:rPr>
        <w:t>. Editor(s): Fouque, Langsam, Cambridge University Press.</w:t>
      </w:r>
    </w:p>
    <w:p w14:paraId="18F15432" w14:textId="77777777" w:rsidR="002A0283" w:rsidRPr="002253A7" w:rsidRDefault="002A0283" w:rsidP="002A0283">
      <w:pPr>
        <w:ind w:left="720" w:hanging="720"/>
        <w:contextualSpacing/>
        <w:rPr>
          <w:rFonts w:eastAsia="Calibri" w:cs="Times New Roman"/>
        </w:rPr>
      </w:pPr>
    </w:p>
    <w:p w14:paraId="7D37B4AA" w14:textId="08A39448" w:rsidR="002A0283" w:rsidRPr="002253A7" w:rsidRDefault="002A0283" w:rsidP="002A0283">
      <w:pPr>
        <w:ind w:left="720" w:hanging="720"/>
        <w:contextualSpacing/>
        <w:rPr>
          <w:rFonts w:eastAsia="Calibri" w:cs="Times New Roman"/>
        </w:rPr>
      </w:pPr>
      <w:r w:rsidRPr="002253A7">
        <w:rPr>
          <w:rFonts w:eastAsia="Calibri" w:cs="Times New Roman"/>
        </w:rPr>
        <w:t xml:space="preserve">De Vries, C., 2005. The Simple Economics of Bank Fragility. </w:t>
      </w:r>
      <w:r w:rsidRPr="002253A7">
        <w:rPr>
          <w:rFonts w:eastAsia="Calibri" w:cs="Times New Roman"/>
          <w:i/>
        </w:rPr>
        <w:t>Journal of Banking and Finance</w:t>
      </w:r>
      <w:r w:rsidRPr="002253A7">
        <w:rPr>
          <w:rFonts w:eastAsia="Calibri" w:cs="Times New Roman"/>
        </w:rPr>
        <w:t xml:space="preserve"> 29, 803-825.</w:t>
      </w:r>
    </w:p>
    <w:p w14:paraId="5D1AC7EE" w14:textId="77777777" w:rsidR="002A0283" w:rsidRPr="002253A7" w:rsidRDefault="002A0283" w:rsidP="002A0283">
      <w:pPr>
        <w:ind w:left="720" w:hanging="720"/>
        <w:contextualSpacing/>
        <w:rPr>
          <w:rFonts w:eastAsia="Calibri" w:cs="Times New Roman"/>
        </w:rPr>
      </w:pPr>
    </w:p>
    <w:p w14:paraId="6774DE22" w14:textId="653A4CDD" w:rsidR="002A0283" w:rsidRPr="002253A7" w:rsidRDefault="002A0283" w:rsidP="002A0283">
      <w:pPr>
        <w:ind w:left="720" w:hanging="720"/>
        <w:contextualSpacing/>
        <w:rPr>
          <w:rFonts w:eastAsia="Calibri" w:cs="Times New Roman"/>
        </w:rPr>
      </w:pPr>
      <w:r w:rsidRPr="002253A7">
        <w:rPr>
          <w:rFonts w:eastAsia="Calibri" w:cs="Times New Roman"/>
        </w:rPr>
        <w:t xml:space="preserve">Delpini, D., S. Battiston, M. Riccaboni, G. Gabbi, F. Pammolli and G. Caldarelli, 2013. Evolution of Controllability in Interbank Networks. </w:t>
      </w:r>
      <w:r w:rsidRPr="002253A7">
        <w:rPr>
          <w:rFonts w:eastAsia="Calibri" w:cs="Times New Roman"/>
          <w:i/>
        </w:rPr>
        <w:t>Scientific Report</w:t>
      </w:r>
      <w:r w:rsidR="00590E71">
        <w:rPr>
          <w:rFonts w:eastAsia="Calibri" w:cs="Times New Roman"/>
          <w:i/>
        </w:rPr>
        <w:t xml:space="preserve"> </w:t>
      </w:r>
      <w:r w:rsidRPr="002253A7">
        <w:rPr>
          <w:rFonts w:eastAsia="Calibri" w:cs="Times New Roman"/>
        </w:rPr>
        <w:t>3</w:t>
      </w:r>
      <w:r w:rsidR="00590E71">
        <w:rPr>
          <w:rFonts w:eastAsia="Calibri" w:cs="Times New Roman"/>
        </w:rPr>
        <w:t xml:space="preserve">, </w:t>
      </w:r>
      <w:r w:rsidRPr="002253A7">
        <w:rPr>
          <w:rFonts w:eastAsia="Calibri" w:cs="Times New Roman"/>
        </w:rPr>
        <w:t>1626.</w:t>
      </w:r>
    </w:p>
    <w:p w14:paraId="097AB50B" w14:textId="77777777" w:rsidR="002A0283" w:rsidRPr="002253A7" w:rsidRDefault="002A0283" w:rsidP="002A0283">
      <w:pPr>
        <w:ind w:left="720" w:hanging="720"/>
        <w:contextualSpacing/>
        <w:rPr>
          <w:rFonts w:eastAsia="Calibri" w:cs="Times New Roman"/>
        </w:rPr>
      </w:pPr>
    </w:p>
    <w:p w14:paraId="43800FAF" w14:textId="711F60B3" w:rsidR="002A0283" w:rsidRPr="002253A7" w:rsidRDefault="002A0283" w:rsidP="002A0283">
      <w:pPr>
        <w:ind w:left="720" w:hanging="720"/>
        <w:contextualSpacing/>
        <w:rPr>
          <w:rFonts w:eastAsia="Calibri" w:cs="Times New Roman"/>
        </w:rPr>
      </w:pPr>
      <w:r w:rsidRPr="002253A7">
        <w:rPr>
          <w:rFonts w:eastAsia="Calibri" w:cs="Times New Roman"/>
        </w:rPr>
        <w:t xml:space="preserve">Diebold, F. X. and K. Yilmaz, 2014. On the network topology of variance decompositions: Measuring the connectedness of financial firms. </w:t>
      </w:r>
      <w:r w:rsidRPr="002253A7">
        <w:rPr>
          <w:rFonts w:eastAsia="Calibri" w:cs="Times New Roman"/>
          <w:i/>
          <w:iCs/>
        </w:rPr>
        <w:t>Journal of Econometrics</w:t>
      </w:r>
      <w:r w:rsidRPr="002253A7">
        <w:rPr>
          <w:rFonts w:eastAsia="Calibri" w:cs="Times New Roman"/>
        </w:rPr>
        <w:t xml:space="preserve"> 182, 119-134</w:t>
      </w:r>
    </w:p>
    <w:p w14:paraId="22E67841" w14:textId="77777777" w:rsidR="002A0283" w:rsidRPr="002253A7" w:rsidRDefault="002A0283" w:rsidP="002A0283">
      <w:pPr>
        <w:ind w:left="720" w:hanging="720"/>
        <w:contextualSpacing/>
        <w:rPr>
          <w:rFonts w:eastAsia="Calibri" w:cs="Times New Roman"/>
        </w:rPr>
      </w:pPr>
    </w:p>
    <w:p w14:paraId="7EA01A9E" w14:textId="7FB5C7F8" w:rsidR="002A0283" w:rsidRPr="002253A7" w:rsidRDefault="002A0283" w:rsidP="002A0283">
      <w:pPr>
        <w:ind w:left="720" w:hanging="720"/>
        <w:contextualSpacing/>
        <w:rPr>
          <w:rFonts w:eastAsia="Calibri" w:cs="Times New Roman"/>
        </w:rPr>
      </w:pPr>
      <w:r w:rsidRPr="002253A7">
        <w:rPr>
          <w:rFonts w:eastAsia="Calibri" w:cs="Times New Roman"/>
        </w:rPr>
        <w:t xml:space="preserve">Elliott, M., B. Golub and M. O. Jackson, 2014. Financial Networks and Contagion. </w:t>
      </w:r>
      <w:r w:rsidRPr="002253A7">
        <w:rPr>
          <w:rFonts w:eastAsia="Calibri" w:cs="Times New Roman"/>
          <w:i/>
        </w:rPr>
        <w:t>American Economic Review</w:t>
      </w:r>
      <w:r w:rsidRPr="002253A7">
        <w:rPr>
          <w:rFonts w:eastAsia="Calibri" w:cs="Times New Roman"/>
        </w:rPr>
        <w:t xml:space="preserve"> 104</w:t>
      </w:r>
      <w:r w:rsidR="00590E71">
        <w:rPr>
          <w:rFonts w:eastAsia="Calibri" w:cs="Times New Roman"/>
        </w:rPr>
        <w:t>,</w:t>
      </w:r>
      <w:r w:rsidRPr="002253A7">
        <w:rPr>
          <w:rFonts w:eastAsia="Calibri" w:cs="Times New Roman"/>
        </w:rPr>
        <w:t xml:space="preserve"> 3115-53.</w:t>
      </w:r>
    </w:p>
    <w:p w14:paraId="5F2A2AC3" w14:textId="77777777" w:rsidR="002A0283" w:rsidRPr="002253A7" w:rsidRDefault="002A0283" w:rsidP="002A0283">
      <w:pPr>
        <w:shd w:val="clear" w:color="auto" w:fill="FFFFFF"/>
        <w:rPr>
          <w:rFonts w:ascii="Verdana" w:eastAsia="Times New Roman" w:hAnsi="Verdana" w:cs="Times New Roman"/>
          <w:color w:val="000000"/>
          <w:sz w:val="21"/>
          <w:szCs w:val="21"/>
          <w:lang w:eastAsia="ko-KR"/>
        </w:rPr>
      </w:pPr>
      <w:r w:rsidRPr="002253A7">
        <w:rPr>
          <w:rFonts w:eastAsia="Calibri" w:cs="Times New Roman"/>
          <w:sz w:val="16"/>
          <w:szCs w:val="16"/>
        </w:rPr>
        <w:t/>
      </w:r>
    </w:p>
    <w:p w14:paraId="6FB77558" w14:textId="632E868D" w:rsidR="002A0283" w:rsidRPr="002253A7" w:rsidRDefault="002A0283" w:rsidP="002A0283">
      <w:pPr>
        <w:ind w:left="720" w:hanging="720"/>
        <w:contextualSpacing/>
        <w:rPr>
          <w:rFonts w:eastAsia="Calibri" w:cs="Times New Roman"/>
        </w:rPr>
      </w:pPr>
      <w:r w:rsidRPr="002253A7">
        <w:rPr>
          <w:rFonts w:eastAsia="Calibri" w:cs="Times New Roman"/>
        </w:rPr>
        <w:t xml:space="preserve">Elsinger, H., A. Lehar and M. Summer, 2006. Risk Assessment for Banking Systems. </w:t>
      </w:r>
      <w:r w:rsidRPr="002253A7">
        <w:rPr>
          <w:rFonts w:eastAsia="Calibri" w:cs="Times New Roman"/>
          <w:i/>
        </w:rPr>
        <w:t>Management Science</w:t>
      </w:r>
      <w:r w:rsidRPr="002253A7">
        <w:rPr>
          <w:rFonts w:eastAsia="Calibri" w:cs="Times New Roman"/>
        </w:rPr>
        <w:t xml:space="preserve"> 52, 1301-1314.</w:t>
      </w:r>
    </w:p>
    <w:p w14:paraId="6C1DB07F" w14:textId="77777777" w:rsidR="002A0283" w:rsidRPr="002253A7" w:rsidRDefault="002A0283" w:rsidP="002A0283">
      <w:pPr>
        <w:ind w:left="720" w:hanging="720"/>
        <w:contextualSpacing/>
        <w:rPr>
          <w:rFonts w:eastAsia="Calibri" w:cs="Times New Roman"/>
        </w:rPr>
      </w:pPr>
    </w:p>
    <w:p w14:paraId="4A08D7F8" w14:textId="7FB1CDBB" w:rsidR="002A0283" w:rsidRPr="002253A7" w:rsidRDefault="002A0283" w:rsidP="002A0283">
      <w:pPr>
        <w:ind w:left="720" w:hanging="720"/>
        <w:contextualSpacing/>
        <w:rPr>
          <w:rFonts w:eastAsia="Calibri" w:cs="Times New Roman"/>
        </w:rPr>
      </w:pPr>
      <w:r w:rsidRPr="002253A7">
        <w:rPr>
          <w:rFonts w:eastAsia="Calibri" w:cs="Times New Roman"/>
        </w:rPr>
        <w:t xml:space="preserve">Forbes, K.J. and R. Rigobon, 2002. No Contagion, only Interdependence: Measuring Stock Market Co-movements. </w:t>
      </w:r>
      <w:r w:rsidRPr="002253A7">
        <w:rPr>
          <w:rFonts w:eastAsia="Calibri" w:cs="Times New Roman"/>
          <w:i/>
        </w:rPr>
        <w:t>Journal of Finance</w:t>
      </w:r>
      <w:r w:rsidRPr="002253A7">
        <w:rPr>
          <w:rFonts w:eastAsia="Calibri" w:cs="Times New Roman"/>
        </w:rPr>
        <w:t xml:space="preserve"> 57, 2223-2261.</w:t>
      </w:r>
    </w:p>
    <w:p w14:paraId="50522B38" w14:textId="77777777" w:rsidR="002A0283" w:rsidRPr="002253A7" w:rsidRDefault="002A0283" w:rsidP="002A0283">
      <w:pPr>
        <w:ind w:left="720" w:hanging="720"/>
        <w:contextualSpacing/>
        <w:rPr>
          <w:rFonts w:eastAsia="Calibri" w:cs="Times New Roman"/>
        </w:rPr>
      </w:pPr>
    </w:p>
    <w:p w14:paraId="7B50F349" w14:textId="65C2DD54" w:rsidR="002A0283" w:rsidRPr="002253A7" w:rsidRDefault="002A0283" w:rsidP="002A0283">
      <w:pPr>
        <w:ind w:left="720" w:hanging="720"/>
        <w:contextualSpacing/>
        <w:rPr>
          <w:rFonts w:eastAsia="Calibri" w:cs="Times New Roman"/>
        </w:rPr>
      </w:pPr>
      <w:r w:rsidRPr="002253A7">
        <w:rPr>
          <w:rFonts w:eastAsia="Calibri" w:cs="Times New Roman"/>
        </w:rPr>
        <w:t xml:space="preserve">Faust, J., J. H. Rogers, S.-Y. B. Wang and J. H. Wright, 2007. The high-frequency response of exchange rates and interest rates to macroeconomic announcements. </w:t>
      </w:r>
      <w:r w:rsidRPr="002253A7">
        <w:rPr>
          <w:rFonts w:eastAsia="Calibri" w:cs="Times New Roman"/>
          <w:i/>
        </w:rPr>
        <w:t>Journal of Monetary Economics</w:t>
      </w:r>
      <w:r w:rsidRPr="002253A7">
        <w:rPr>
          <w:rFonts w:eastAsia="Calibri" w:cs="Times New Roman"/>
        </w:rPr>
        <w:t xml:space="preserve"> 54, 1051-1068.</w:t>
      </w:r>
    </w:p>
    <w:p w14:paraId="6B921F98" w14:textId="77777777" w:rsidR="002A0283" w:rsidRPr="002253A7" w:rsidRDefault="002A0283" w:rsidP="002A0283">
      <w:pPr>
        <w:ind w:left="720" w:hanging="720"/>
        <w:contextualSpacing/>
        <w:rPr>
          <w:rFonts w:eastAsia="Calibri" w:cs="Times New Roman"/>
        </w:rPr>
      </w:pPr>
    </w:p>
    <w:p w14:paraId="5FD2EF98" w14:textId="0E7CD34D" w:rsidR="002A0283" w:rsidRPr="002253A7" w:rsidRDefault="002A0283" w:rsidP="002A0283">
      <w:pPr>
        <w:ind w:left="720" w:hanging="720"/>
        <w:contextualSpacing/>
        <w:rPr>
          <w:rFonts w:eastAsia="Calibri" w:cs="Times New Roman"/>
        </w:rPr>
      </w:pPr>
      <w:r w:rsidRPr="002253A7">
        <w:rPr>
          <w:rFonts w:eastAsia="Calibri" w:cs="Times New Roman"/>
        </w:rPr>
        <w:t xml:space="preserve">Gai, P., A. Haldane and S. Kapadia, 2011. Complexity, Concentration and Contagion. </w:t>
      </w:r>
      <w:r w:rsidRPr="002253A7">
        <w:rPr>
          <w:rFonts w:eastAsia="Calibri" w:cs="Times New Roman"/>
          <w:i/>
        </w:rPr>
        <w:t>Journal of Monetary Economics</w:t>
      </w:r>
      <w:r w:rsidRPr="002253A7">
        <w:rPr>
          <w:rFonts w:eastAsia="Calibri" w:cs="Times New Roman"/>
        </w:rPr>
        <w:t xml:space="preserve"> 58, 453-470.</w:t>
      </w:r>
    </w:p>
    <w:p w14:paraId="3A3E9148" w14:textId="77777777" w:rsidR="002A0283" w:rsidRPr="002253A7" w:rsidRDefault="002A0283" w:rsidP="002A0283">
      <w:pPr>
        <w:ind w:left="720" w:hanging="720"/>
        <w:contextualSpacing/>
        <w:rPr>
          <w:rFonts w:eastAsia="Calibri" w:cs="Times New Roman"/>
        </w:rPr>
      </w:pPr>
    </w:p>
    <w:p w14:paraId="0D5842B0" w14:textId="3FA3EB0B" w:rsidR="002A0283" w:rsidRPr="002253A7" w:rsidRDefault="002A0283" w:rsidP="002A0283">
      <w:pPr>
        <w:rPr>
          <w:rFonts w:eastAsia="Times New Roman" w:cs="Times New Roman"/>
        </w:rPr>
      </w:pPr>
      <w:r w:rsidRPr="002253A7">
        <w:rPr>
          <w:rFonts w:eastAsia="Times New Roman" w:cs="Times New Roman"/>
        </w:rPr>
        <w:t xml:space="preserve">Handcock, M. S., &amp; Gile, K. J. (2010). Modeling social networks from sampled data. </w:t>
      </w:r>
      <w:r w:rsidRPr="002253A7">
        <w:rPr>
          <w:rFonts w:eastAsia="Times New Roman" w:cs="Times New Roman"/>
          <w:i/>
          <w:iCs/>
        </w:rPr>
        <w:t>The Annals of Applied Statistics</w:t>
      </w:r>
      <w:r w:rsidRPr="002253A7">
        <w:rPr>
          <w:rFonts w:eastAsia="Times New Roman" w:cs="Times New Roman"/>
        </w:rPr>
        <w:t xml:space="preserve"> </w:t>
      </w:r>
      <w:r w:rsidRPr="00590E71">
        <w:rPr>
          <w:rFonts w:eastAsia="Times New Roman" w:cs="Times New Roman"/>
          <w:iCs/>
        </w:rPr>
        <w:t>4</w:t>
      </w:r>
      <w:r w:rsidRPr="00590E71">
        <w:rPr>
          <w:rFonts w:eastAsia="Times New Roman" w:cs="Times New Roman"/>
        </w:rPr>
        <w:t>, 5</w:t>
      </w:r>
      <w:r w:rsidRPr="002253A7">
        <w:rPr>
          <w:rFonts w:eastAsia="Times New Roman" w:cs="Times New Roman"/>
        </w:rPr>
        <w:t>-25.</w:t>
      </w:r>
    </w:p>
    <w:p w14:paraId="0E031103" w14:textId="77777777" w:rsidR="002A0283" w:rsidRPr="002253A7" w:rsidRDefault="002A0283" w:rsidP="002A0283">
      <w:pPr>
        <w:rPr>
          <w:rFonts w:eastAsia="Times New Roman" w:cs="Times New Roman"/>
        </w:rPr>
      </w:pPr>
    </w:p>
    <w:p w14:paraId="26B066F9" w14:textId="77777777" w:rsidR="002A0283" w:rsidRPr="002253A7" w:rsidRDefault="002A0283" w:rsidP="002A0283">
      <w:pPr>
        <w:ind w:left="720" w:hanging="720"/>
        <w:contextualSpacing/>
        <w:rPr>
          <w:rFonts w:eastAsia="Calibri" w:cs="Times New Roman"/>
        </w:rPr>
      </w:pPr>
      <w:r w:rsidRPr="002253A7">
        <w:rPr>
          <w:rFonts w:eastAsia="Calibri" w:cs="Times New Roman"/>
        </w:rPr>
        <w:t xml:space="preserve">Hatzopoulos, V., G. Iori, R.N. Mantegna, S. Micciche and M. Tumminello, 2014. Quantifying preferential trading in the e-MID interbank market. </w:t>
      </w:r>
      <w:r w:rsidRPr="002253A7">
        <w:rPr>
          <w:rFonts w:eastAsia="Calibri" w:cs="Times New Roman"/>
          <w:i/>
        </w:rPr>
        <w:t>Quantitative Finance</w:t>
      </w:r>
      <w:r w:rsidRPr="002253A7">
        <w:rPr>
          <w:rFonts w:eastAsia="Calibri" w:cs="Times New Roman"/>
        </w:rPr>
        <w:t>, ISSN 1469-7688 (In Press).</w:t>
      </w:r>
    </w:p>
    <w:p w14:paraId="586B31DA" w14:textId="77777777" w:rsidR="002A0283" w:rsidRPr="002253A7" w:rsidRDefault="002A0283" w:rsidP="002A0283">
      <w:pPr>
        <w:ind w:left="720" w:hanging="720"/>
        <w:contextualSpacing/>
        <w:rPr>
          <w:rFonts w:eastAsia="Calibri" w:cs="Times New Roman"/>
        </w:rPr>
      </w:pPr>
    </w:p>
    <w:p w14:paraId="23645868" w14:textId="4E855D56" w:rsidR="002A0283" w:rsidRPr="002253A7" w:rsidRDefault="002A0283" w:rsidP="002A0283">
      <w:pPr>
        <w:ind w:left="720" w:hanging="720"/>
        <w:contextualSpacing/>
        <w:rPr>
          <w:rFonts w:eastAsia="Calibri" w:cs="Times New Roman"/>
        </w:rPr>
      </w:pPr>
      <w:r w:rsidRPr="002253A7">
        <w:rPr>
          <w:rFonts w:eastAsia="Calibri" w:cs="Times New Roman"/>
        </w:rPr>
        <w:t xml:space="preserve">Iori, G., R.N. Mantegna, L. Marotta, S. Micciche', J. Porter and M. Tumminello, 2014. Networked relationships in the e-MID Interbank market: A trading model with memory. </w:t>
      </w:r>
      <w:r w:rsidRPr="002253A7">
        <w:rPr>
          <w:rFonts w:eastAsia="Calibri" w:cs="Times New Roman"/>
          <w:i/>
        </w:rPr>
        <w:t>Journal of Economic Dynamics and Control</w:t>
      </w:r>
      <w:r w:rsidRPr="002253A7">
        <w:rPr>
          <w:rFonts w:eastAsia="Calibri" w:cs="Times New Roman"/>
        </w:rPr>
        <w:t xml:space="preserve"> 50, 98-116.</w:t>
      </w:r>
    </w:p>
    <w:p w14:paraId="5BA049F3" w14:textId="77777777" w:rsidR="002A0283" w:rsidRPr="002253A7" w:rsidRDefault="002A0283" w:rsidP="002A0283">
      <w:pPr>
        <w:ind w:left="720" w:hanging="720"/>
        <w:contextualSpacing/>
        <w:rPr>
          <w:rFonts w:eastAsia="Calibri" w:cs="Times New Roman"/>
        </w:rPr>
      </w:pPr>
    </w:p>
    <w:p w14:paraId="2F41C3A6" w14:textId="77777777" w:rsidR="002A0283" w:rsidRPr="002253A7" w:rsidRDefault="002A0283" w:rsidP="002A0283">
      <w:pPr>
        <w:ind w:left="720" w:hanging="720"/>
        <w:contextualSpacing/>
        <w:rPr>
          <w:rFonts w:eastAsia="Calibri" w:cs="Times New Roman"/>
        </w:rPr>
      </w:pPr>
      <w:r w:rsidRPr="002253A7">
        <w:rPr>
          <w:rFonts w:eastAsia="Calibri" w:cs="Times New Roman"/>
        </w:rPr>
        <w:t xml:space="preserve">Jackson, M. 2008. </w:t>
      </w:r>
      <w:r w:rsidRPr="002253A7">
        <w:rPr>
          <w:rFonts w:eastAsia="Calibri" w:cs="Times New Roman"/>
          <w:i/>
          <w:iCs/>
        </w:rPr>
        <w:t>Social and Economic Networks</w:t>
      </w:r>
      <w:r w:rsidRPr="002253A7">
        <w:rPr>
          <w:rFonts w:eastAsia="Calibri" w:cs="Times New Roman"/>
        </w:rPr>
        <w:t>. Princeton University Press, Princeton, NJ, USA.</w:t>
      </w:r>
    </w:p>
    <w:p w14:paraId="08FB7F04" w14:textId="77777777" w:rsidR="002A0283" w:rsidRPr="002253A7" w:rsidRDefault="002A0283" w:rsidP="002A0283">
      <w:pPr>
        <w:ind w:left="720" w:hanging="720"/>
        <w:contextualSpacing/>
        <w:rPr>
          <w:rFonts w:eastAsia="Calibri" w:cs="Times New Roman"/>
        </w:rPr>
      </w:pPr>
    </w:p>
    <w:p w14:paraId="33446969" w14:textId="7ED1B7CE" w:rsidR="002A0283" w:rsidRPr="002253A7" w:rsidRDefault="002A0283" w:rsidP="002A0283">
      <w:pPr>
        <w:ind w:left="720" w:hanging="720"/>
        <w:contextualSpacing/>
        <w:rPr>
          <w:rFonts w:eastAsia="Calibri" w:cs="Times New Roman"/>
        </w:rPr>
      </w:pPr>
      <w:r w:rsidRPr="002253A7">
        <w:rPr>
          <w:rFonts w:eastAsia="Calibri" w:cs="Times New Roman"/>
        </w:rPr>
        <w:t xml:space="preserve">Kilian, L. and C. Vega, 2011. Do Energy Prices Respond to U.S. Macroeconomic News? A Test of the Hypothesis of Predetermined Energy Prices, </w:t>
      </w:r>
      <w:r w:rsidRPr="002253A7">
        <w:rPr>
          <w:rFonts w:eastAsia="Calibri" w:cs="Times New Roman"/>
          <w:i/>
        </w:rPr>
        <w:t>The Review of Economics and Statistics, MIT Press</w:t>
      </w:r>
      <w:r w:rsidRPr="002253A7">
        <w:rPr>
          <w:rFonts w:eastAsia="Calibri" w:cs="Times New Roman"/>
        </w:rPr>
        <w:t xml:space="preserve"> 93, 660-671, May.</w:t>
      </w:r>
    </w:p>
    <w:p w14:paraId="628CBA62" w14:textId="77777777" w:rsidR="002A0283" w:rsidRPr="002253A7" w:rsidRDefault="002A0283" w:rsidP="002A0283">
      <w:pPr>
        <w:ind w:left="720" w:hanging="720"/>
        <w:contextualSpacing/>
        <w:rPr>
          <w:rFonts w:eastAsia="Calibri" w:cs="Times New Roman"/>
        </w:rPr>
      </w:pPr>
    </w:p>
    <w:p w14:paraId="4BD72841" w14:textId="7D418484" w:rsidR="002A0283" w:rsidRPr="002253A7" w:rsidRDefault="002A0283" w:rsidP="002A0283">
      <w:pPr>
        <w:ind w:left="720" w:hanging="720"/>
        <w:contextualSpacing/>
        <w:rPr>
          <w:rFonts w:eastAsia="Calibri" w:cs="Times New Roman"/>
        </w:rPr>
      </w:pPr>
      <w:r w:rsidRPr="002253A7">
        <w:rPr>
          <w:rFonts w:eastAsia="Calibri" w:cs="Times New Roman"/>
        </w:rPr>
        <w:t xml:space="preserve">Lagunoff, R. and L. Schreft, 2001. A Model of Financial Fragility. </w:t>
      </w:r>
      <w:r w:rsidRPr="002253A7">
        <w:rPr>
          <w:rFonts w:eastAsia="Calibri" w:cs="Times New Roman"/>
          <w:i/>
        </w:rPr>
        <w:t>Journal of Economic Theory</w:t>
      </w:r>
      <w:r w:rsidRPr="002253A7">
        <w:rPr>
          <w:rFonts w:eastAsia="Calibri" w:cs="Times New Roman"/>
        </w:rPr>
        <w:t xml:space="preserve"> 99, 220-264.</w:t>
      </w:r>
    </w:p>
    <w:p w14:paraId="1830199C" w14:textId="77777777" w:rsidR="002A0283" w:rsidRPr="002253A7" w:rsidRDefault="002A0283" w:rsidP="002A0283">
      <w:pPr>
        <w:ind w:left="720" w:hanging="720"/>
        <w:contextualSpacing/>
        <w:rPr>
          <w:rFonts w:eastAsia="Calibri" w:cs="Times New Roman"/>
        </w:rPr>
      </w:pPr>
    </w:p>
    <w:p w14:paraId="085340E7" w14:textId="03A8C95C" w:rsidR="002A0283" w:rsidRPr="002253A7" w:rsidRDefault="002A0283" w:rsidP="002A0283">
      <w:pPr>
        <w:ind w:left="720" w:hanging="720"/>
        <w:contextualSpacing/>
        <w:rPr>
          <w:rFonts w:eastAsia="Calibri" w:cs="Times New Roman"/>
        </w:rPr>
      </w:pPr>
      <w:r w:rsidRPr="002253A7">
        <w:rPr>
          <w:rFonts w:eastAsia="Calibri" w:cs="Times New Roman"/>
        </w:rPr>
        <w:t>Leduc, S. and Z. Liu, 2012. Uncertainty, unemployment, and inflation. Federal Reserve Bank of San Francisco Workin</w:t>
      </w:r>
      <w:r w:rsidR="00590E71">
        <w:rPr>
          <w:rFonts w:eastAsia="Calibri" w:cs="Times New Roman"/>
        </w:rPr>
        <w:t>g Paper Series.</w:t>
      </w:r>
    </w:p>
    <w:p w14:paraId="7CED9F7A" w14:textId="77777777" w:rsidR="002A0283" w:rsidRPr="002253A7" w:rsidRDefault="002A0283" w:rsidP="002A0283">
      <w:pPr>
        <w:ind w:left="720" w:hanging="720"/>
        <w:contextualSpacing/>
        <w:rPr>
          <w:rFonts w:eastAsia="Calibri" w:cs="Times New Roman"/>
        </w:rPr>
      </w:pPr>
    </w:p>
    <w:p w14:paraId="430C090D" w14:textId="43E81275" w:rsidR="002A0283" w:rsidRPr="002253A7" w:rsidRDefault="002A0283" w:rsidP="002A0283">
      <w:pPr>
        <w:ind w:left="720" w:hanging="720"/>
        <w:contextualSpacing/>
        <w:rPr>
          <w:rFonts w:eastAsia="Calibri" w:cs="Times New Roman"/>
        </w:rPr>
      </w:pPr>
      <w:r w:rsidRPr="002253A7">
        <w:rPr>
          <w:rFonts w:eastAsia="Calibri" w:cs="Times New Roman"/>
        </w:rPr>
        <w:t xml:space="preserve">Mankad, S. and G. Michailidis, 2013.  Structural and functional discovery in dynamic networks with non-negative matrix factorization, </w:t>
      </w:r>
      <w:r w:rsidRPr="002253A7">
        <w:rPr>
          <w:rFonts w:eastAsia="Calibri" w:cs="Times New Roman"/>
          <w:i/>
        </w:rPr>
        <w:t>Physical Review E</w:t>
      </w:r>
      <w:r w:rsidRPr="002253A7">
        <w:rPr>
          <w:rFonts w:eastAsia="Calibri" w:cs="Times New Roman"/>
        </w:rPr>
        <w:t xml:space="preserve"> 88, 1-14.</w:t>
      </w:r>
    </w:p>
    <w:p w14:paraId="3FC409C5" w14:textId="77777777" w:rsidR="002A0283" w:rsidRPr="002253A7" w:rsidRDefault="002A0283" w:rsidP="002A0283">
      <w:pPr>
        <w:ind w:left="720" w:hanging="720"/>
        <w:contextualSpacing/>
        <w:rPr>
          <w:rFonts w:eastAsia="Calibri" w:cs="Times New Roman"/>
        </w:rPr>
      </w:pPr>
    </w:p>
    <w:p w14:paraId="5EB7A06F" w14:textId="77777777" w:rsidR="002A0283" w:rsidRPr="002253A7" w:rsidRDefault="002A0283" w:rsidP="002A0283">
      <w:pPr>
        <w:ind w:left="720" w:hanging="720"/>
        <w:contextualSpacing/>
        <w:rPr>
          <w:rFonts w:eastAsia="Calibri" w:cs="Times New Roman"/>
        </w:rPr>
      </w:pPr>
      <w:r w:rsidRPr="002253A7">
        <w:rPr>
          <w:rFonts w:eastAsia="Calibri" w:cs="Times New Roman"/>
        </w:rPr>
        <w:t xml:space="preserve">Mankad, S., G. Michailidis and C. Brunetti, 2014. Visual Analytics for Network-Based Market Surveillance. </w:t>
      </w:r>
      <w:r w:rsidRPr="002253A7">
        <w:rPr>
          <w:rFonts w:eastAsia="Calibri" w:cs="Times New Roman"/>
          <w:i/>
        </w:rPr>
        <w:t>DSMM 2014</w:t>
      </w:r>
      <w:r w:rsidRPr="002253A7">
        <w:rPr>
          <w:rFonts w:eastAsia="Calibri" w:cs="Times New Roman"/>
        </w:rPr>
        <w:t>, in conjunction with ACM SIGMOD.</w:t>
      </w:r>
    </w:p>
    <w:p w14:paraId="4592A24F" w14:textId="77777777" w:rsidR="002A0283" w:rsidRPr="002253A7" w:rsidRDefault="002A0283" w:rsidP="002A0283">
      <w:pPr>
        <w:ind w:left="720" w:hanging="720"/>
        <w:contextualSpacing/>
        <w:rPr>
          <w:rFonts w:eastAsia="Calibri" w:cs="Times New Roman"/>
        </w:rPr>
      </w:pPr>
    </w:p>
    <w:p w14:paraId="25697E54" w14:textId="77777777" w:rsidR="002A0283" w:rsidRPr="002253A7" w:rsidRDefault="002A0283" w:rsidP="002A0283">
      <w:pPr>
        <w:spacing w:line="480" w:lineRule="auto"/>
        <w:contextualSpacing/>
        <w:jc w:val="both"/>
        <w:rPr>
          <w:rFonts w:eastAsia="Calibri" w:cs="Times New Roman"/>
        </w:rPr>
      </w:pPr>
      <w:r w:rsidRPr="002253A7">
        <w:rPr>
          <w:rFonts w:eastAsia="Calibri" w:cs="Times New Roman"/>
        </w:rPr>
        <w:t xml:space="preserve">Newman, M., Networks: An Introduction, 2010. </w:t>
      </w:r>
      <w:r w:rsidRPr="002253A7">
        <w:rPr>
          <w:rFonts w:eastAsia="Calibri" w:cs="Times New Roman"/>
          <w:i/>
        </w:rPr>
        <w:t>Oxford University Press</w:t>
      </w:r>
    </w:p>
    <w:p w14:paraId="5B2016E2" w14:textId="77777777" w:rsidR="002A0283" w:rsidRPr="002253A7" w:rsidRDefault="002A0283" w:rsidP="002A0283">
      <w:pPr>
        <w:ind w:left="720" w:hanging="720"/>
        <w:contextualSpacing/>
        <w:rPr>
          <w:rFonts w:eastAsia="Calibri" w:cs="Times New Roman"/>
        </w:rPr>
      </w:pPr>
      <w:r w:rsidRPr="002253A7">
        <w:rPr>
          <w:rFonts w:eastAsia="Calibri" w:cs="Times New Roman"/>
        </w:rPr>
        <w:t>Puliga, M., G. Caldarelli and S. Battiston, 2014. Credit Default Swaps networks and systemic risk. Scientific Reports, 4:6822.</w:t>
      </w:r>
    </w:p>
    <w:p w14:paraId="791AC90B" w14:textId="77777777" w:rsidR="002A0283" w:rsidRPr="002253A7" w:rsidRDefault="002A0283" w:rsidP="002A0283">
      <w:pPr>
        <w:ind w:left="720" w:hanging="720"/>
        <w:contextualSpacing/>
        <w:rPr>
          <w:rFonts w:eastAsia="Calibri" w:cs="Times New Roman"/>
        </w:rPr>
      </w:pPr>
    </w:p>
    <w:p w14:paraId="139FAF3F" w14:textId="77777777" w:rsidR="002A0283" w:rsidRPr="002253A7" w:rsidRDefault="002A0283" w:rsidP="002A0283">
      <w:pPr>
        <w:ind w:left="720" w:hanging="720"/>
        <w:contextualSpacing/>
        <w:rPr>
          <w:rFonts w:eastAsia="Calibri" w:cs="Times New Roman"/>
        </w:rPr>
      </w:pPr>
      <w:r w:rsidRPr="002253A7">
        <w:rPr>
          <w:rFonts w:eastAsia="Calibri" w:cs="Times New Roman"/>
        </w:rPr>
        <w:t>Rogers, J. H., C. Scotti, and J. H. Wright, 2014. Evaluating Asset-Market Effects of Unconventional Monetary Policy: A Cross-Country Comparison, International Finance Discussion Papers 1101, Board of Governors of the Federal Reserve System (U.S.).</w:t>
      </w:r>
    </w:p>
    <w:p w14:paraId="7012CE4A" w14:textId="77777777" w:rsidR="002A0283" w:rsidRPr="002253A7" w:rsidRDefault="002A0283" w:rsidP="002A0283">
      <w:pPr>
        <w:ind w:left="720" w:hanging="720"/>
        <w:contextualSpacing/>
        <w:rPr>
          <w:rFonts w:eastAsia="Calibri" w:cs="Times New Roman"/>
        </w:rPr>
      </w:pPr>
    </w:p>
    <w:p w14:paraId="14AA5677" w14:textId="77777777" w:rsidR="002A0283" w:rsidRPr="002253A7" w:rsidRDefault="002A0283" w:rsidP="002A0283">
      <w:pPr>
        <w:ind w:left="720" w:hanging="720"/>
        <w:contextualSpacing/>
        <w:rPr>
          <w:rFonts w:eastAsia="Calibri" w:cs="Times New Roman"/>
        </w:rPr>
      </w:pPr>
      <w:r w:rsidRPr="002253A7">
        <w:rPr>
          <w:rFonts w:eastAsia="Calibri" w:cs="Times New Roman"/>
        </w:rPr>
        <w:t xml:space="preserve">Roukny, R., H. Bersini, H. Pirotte, G. Caldarelli and S. Battiston, 2013. Default Cascades in Complex Networks: Topology and Systemic Risk. </w:t>
      </w:r>
      <w:r w:rsidRPr="002253A7">
        <w:rPr>
          <w:rFonts w:eastAsia="Calibri" w:cs="Times New Roman"/>
          <w:i/>
        </w:rPr>
        <w:t>Scientific Reports</w:t>
      </w:r>
      <w:r w:rsidRPr="002253A7">
        <w:rPr>
          <w:rFonts w:eastAsia="Calibri" w:cs="Times New Roman"/>
        </w:rPr>
        <w:t>, 3:2759.</w:t>
      </w:r>
    </w:p>
    <w:p w14:paraId="65C3DB89" w14:textId="77777777" w:rsidR="002A0283" w:rsidRPr="002253A7" w:rsidRDefault="002A0283" w:rsidP="002A0283">
      <w:pPr>
        <w:ind w:left="720" w:hanging="720"/>
        <w:contextualSpacing/>
        <w:rPr>
          <w:rFonts w:eastAsia="Calibri" w:cs="Times New Roman"/>
        </w:rPr>
      </w:pPr>
    </w:p>
    <w:p w14:paraId="25C9FB7A" w14:textId="77777777" w:rsidR="002A0283" w:rsidRPr="002253A7" w:rsidRDefault="002A0283" w:rsidP="002A0283">
      <w:pPr>
        <w:ind w:left="720" w:hanging="720"/>
        <w:contextualSpacing/>
        <w:rPr>
          <w:rFonts w:eastAsia="Calibri" w:cs="Times New Roman"/>
          <w:i/>
        </w:rPr>
      </w:pPr>
      <w:r w:rsidRPr="002253A7">
        <w:rPr>
          <w:rFonts w:eastAsia="Calibri" w:cs="Times New Roman"/>
        </w:rPr>
        <w:t xml:space="preserve">Scotti, C., and Board of Governors of the Federal Reserve System (2013). Surprise and Uncertainty Indexes: Real-Time Aggregation of Real-Activity Macro Surprises, </w:t>
      </w:r>
      <w:r w:rsidRPr="002253A7">
        <w:rPr>
          <w:rFonts w:eastAsia="Calibri" w:cs="Times New Roman"/>
          <w:i/>
        </w:rPr>
        <w:t>International Finance Discussion Papers 1093. Board of Governors of the Federal Reserve System (U.S.).</w:t>
      </w:r>
    </w:p>
    <w:p w14:paraId="50C12F97" w14:textId="77777777" w:rsidR="002A0283" w:rsidRPr="002253A7" w:rsidRDefault="002A0283" w:rsidP="002A0283">
      <w:pPr>
        <w:ind w:left="720" w:hanging="720"/>
        <w:contextualSpacing/>
        <w:rPr>
          <w:rFonts w:eastAsia="Calibri" w:cs="Times New Roman"/>
        </w:rPr>
      </w:pPr>
    </w:p>
    <w:p w14:paraId="1E4B9D82" w14:textId="2C226CB6" w:rsidR="002A0283" w:rsidRPr="002253A7" w:rsidRDefault="002A0283" w:rsidP="002A0283">
      <w:pPr>
        <w:ind w:left="720" w:hanging="720"/>
        <w:contextualSpacing/>
        <w:rPr>
          <w:rFonts w:eastAsia="Calibri" w:cs="Times New Roman"/>
        </w:rPr>
      </w:pPr>
      <w:r w:rsidRPr="002253A7">
        <w:rPr>
          <w:rFonts w:eastAsia="Calibri" w:cs="Times New Roman"/>
        </w:rPr>
        <w:t xml:space="preserve">Shaffer, S., 1994. Pooling Intensify Joint Failure Risk. </w:t>
      </w:r>
      <w:r w:rsidRPr="00590E71">
        <w:rPr>
          <w:rFonts w:eastAsia="Calibri" w:cs="Times New Roman"/>
          <w:i/>
        </w:rPr>
        <w:t>Research in Financial Services</w:t>
      </w:r>
      <w:r w:rsidRPr="002253A7">
        <w:rPr>
          <w:rFonts w:eastAsia="Calibri" w:cs="Times New Roman"/>
        </w:rPr>
        <w:t xml:space="preserve"> 6, 249-280.</w:t>
      </w:r>
    </w:p>
    <w:p w14:paraId="55E63C0C" w14:textId="77777777" w:rsidR="002A0283" w:rsidRPr="002253A7" w:rsidRDefault="002A0283" w:rsidP="002A0283">
      <w:pPr>
        <w:ind w:left="720" w:hanging="720"/>
        <w:contextualSpacing/>
        <w:rPr>
          <w:rFonts w:eastAsia="Calibri" w:cs="Times New Roman"/>
        </w:rPr>
      </w:pPr>
    </w:p>
    <w:p w14:paraId="7C9A7E8F" w14:textId="0C9CE4B3" w:rsidR="002A0283" w:rsidRPr="002253A7" w:rsidRDefault="002A0283" w:rsidP="002A0283">
      <w:pPr>
        <w:ind w:left="720" w:hanging="720"/>
        <w:contextualSpacing/>
        <w:rPr>
          <w:rFonts w:eastAsia="Calibri" w:cs="Times New Roman"/>
        </w:rPr>
      </w:pPr>
      <w:r w:rsidRPr="002253A7">
        <w:rPr>
          <w:rFonts w:eastAsia="Calibri" w:cs="Times New Roman"/>
        </w:rPr>
        <w:t xml:space="preserve">Shin, H-S., 2009a. Securitisation and Financial Stability. </w:t>
      </w:r>
      <w:r w:rsidRPr="00590E71">
        <w:rPr>
          <w:rFonts w:eastAsia="Calibri" w:cs="Times New Roman"/>
          <w:i/>
        </w:rPr>
        <w:t>Economic Journal</w:t>
      </w:r>
      <w:r w:rsidRPr="002253A7">
        <w:rPr>
          <w:rFonts w:eastAsia="Calibri" w:cs="Times New Roman"/>
        </w:rPr>
        <w:t xml:space="preserve"> 119, 309-332.</w:t>
      </w:r>
    </w:p>
    <w:p w14:paraId="4DF62ADC" w14:textId="77777777" w:rsidR="002A0283" w:rsidRPr="002253A7" w:rsidRDefault="002A0283" w:rsidP="002A0283">
      <w:pPr>
        <w:ind w:left="720" w:hanging="720"/>
        <w:contextualSpacing/>
        <w:rPr>
          <w:rFonts w:eastAsia="Calibri" w:cs="Times New Roman"/>
        </w:rPr>
      </w:pPr>
    </w:p>
    <w:p w14:paraId="77D71DF3" w14:textId="7BD745C7" w:rsidR="002A0283" w:rsidRPr="002253A7" w:rsidRDefault="002A0283" w:rsidP="002A0283">
      <w:pPr>
        <w:ind w:left="720" w:hanging="720"/>
        <w:contextualSpacing/>
        <w:rPr>
          <w:rFonts w:eastAsia="Calibri" w:cs="Times New Roman"/>
        </w:rPr>
      </w:pPr>
      <w:r w:rsidRPr="002253A7">
        <w:rPr>
          <w:rFonts w:eastAsia="Calibri" w:cs="Times New Roman"/>
        </w:rPr>
        <w:t>Shin, H-S., 2009b. Financial Intermediation and the Post-Crisis Financial System. BIS Annual Conference.</w:t>
      </w:r>
    </w:p>
    <w:p w14:paraId="12A4DFED" w14:textId="77777777" w:rsidR="002A0283" w:rsidRPr="002253A7" w:rsidRDefault="002A0283" w:rsidP="002A0283">
      <w:pPr>
        <w:ind w:left="720" w:hanging="720"/>
        <w:contextualSpacing/>
        <w:rPr>
          <w:rFonts w:eastAsia="Calibri" w:cs="Times New Roman"/>
        </w:rPr>
      </w:pPr>
    </w:p>
    <w:p w14:paraId="5A2F4942" w14:textId="77777777" w:rsidR="002A0283" w:rsidRPr="002253A7" w:rsidRDefault="002A0283" w:rsidP="002A0283">
      <w:pPr>
        <w:ind w:left="720" w:hanging="720"/>
        <w:contextualSpacing/>
        <w:rPr>
          <w:rFonts w:eastAsia="Calibri" w:cs="Times New Roman"/>
        </w:rPr>
      </w:pPr>
      <w:r w:rsidRPr="002253A7">
        <w:rPr>
          <w:rFonts w:eastAsia="Calibri" w:cs="Times New Roman"/>
        </w:rPr>
        <w:t>Upper, C., 2006. Contagion Due to Interbank Credit Exposures: What Do We Know, Why Do We Know It, and What Should We Know? Working paper, Bank for International Settlements.</w:t>
      </w:r>
    </w:p>
    <w:p w14:paraId="631A51B9" w14:textId="77777777" w:rsidR="002A0283" w:rsidRDefault="002A0283" w:rsidP="002A0283"/>
    <w:p w14:paraId="24CA375C" w14:textId="77777777" w:rsidR="008523B9" w:rsidRDefault="008523B9" w:rsidP="00636B0D">
      <w:pPr>
        <w:pStyle w:val="ListParagraph"/>
        <w:ind w:hanging="720"/>
      </w:pPr>
    </w:p>
    <w:p w14:paraId="788B869E" w14:textId="77777777" w:rsidR="006711E1" w:rsidRDefault="006711E1">
      <w:r>
        <w:br w:type="page"/>
      </w:r>
    </w:p>
    <w:p w14:paraId="04DAAD96" w14:textId="77777777" w:rsidR="00BD324A" w:rsidRDefault="00BD324A" w:rsidP="006711E1"/>
    <w:p w14:paraId="75811E08" w14:textId="77777777" w:rsidR="00D12887" w:rsidRDefault="00BD324A" w:rsidP="00D12887">
      <w:pPr>
        <w:tabs>
          <w:tab w:val="left" w:pos="1710"/>
          <w:tab w:val="left" w:pos="3352"/>
        </w:tabs>
      </w:pPr>
      <w:r>
        <w:tab/>
        <w:t xml:space="preserve">Table 1 </w:t>
      </w:r>
    </w:p>
    <w:p w14:paraId="059ED7EC" w14:textId="50FA6D66" w:rsidR="00BD324A" w:rsidRDefault="00D12887" w:rsidP="00D12887">
      <w:pPr>
        <w:tabs>
          <w:tab w:val="left" w:pos="1710"/>
          <w:tab w:val="left" w:pos="2070"/>
        </w:tabs>
      </w:pPr>
      <w:r>
        <w:tab/>
      </w:r>
      <w:r w:rsidR="00BD324A">
        <w:t>Summary Statistics: Daily Rates of Stock Returns (× 100)</w:t>
      </w:r>
    </w:p>
    <w:tbl>
      <w:tblPr>
        <w:tblStyle w:val="TableGrid"/>
        <w:tblW w:w="0" w:type="auto"/>
        <w:jc w:val="center"/>
        <w:tblLook w:val="04A0" w:firstRow="1" w:lastRow="0" w:firstColumn="1" w:lastColumn="0" w:noHBand="0" w:noVBand="1"/>
      </w:tblPr>
      <w:tblGrid>
        <w:gridCol w:w="2820"/>
        <w:gridCol w:w="1033"/>
        <w:gridCol w:w="2172"/>
      </w:tblGrid>
      <w:tr w:rsidR="00BD324A" w:rsidRPr="0055420F" w14:paraId="36745A6D" w14:textId="77777777" w:rsidTr="00D12887">
        <w:trPr>
          <w:jc w:val="center"/>
        </w:trPr>
        <w:tc>
          <w:tcPr>
            <w:tcW w:w="6025" w:type="dxa"/>
            <w:gridSpan w:val="3"/>
            <w:tcBorders>
              <w:bottom w:val="nil"/>
            </w:tcBorders>
          </w:tcPr>
          <w:p w14:paraId="39CE3281" w14:textId="77777777" w:rsidR="00BD324A" w:rsidRPr="0055420F" w:rsidRDefault="00BD324A" w:rsidP="00F154AD">
            <w:pPr>
              <w:jc w:val="center"/>
            </w:pPr>
            <w:r w:rsidRPr="0055420F">
              <w:t>Pre-crisis: 2-Jan-06 - 8-Aug-07</w:t>
            </w:r>
          </w:p>
        </w:tc>
      </w:tr>
      <w:tr w:rsidR="00BD324A" w:rsidRPr="0055420F" w14:paraId="4DF47F23" w14:textId="77777777" w:rsidTr="00D12887">
        <w:trPr>
          <w:jc w:val="center"/>
        </w:trPr>
        <w:tc>
          <w:tcPr>
            <w:tcW w:w="2820" w:type="dxa"/>
            <w:tcBorders>
              <w:top w:val="nil"/>
              <w:bottom w:val="nil"/>
              <w:right w:val="nil"/>
            </w:tcBorders>
            <w:vAlign w:val="bottom"/>
          </w:tcPr>
          <w:p w14:paraId="28BDE017" w14:textId="77777777" w:rsidR="00BD324A" w:rsidRPr="0055420F" w:rsidRDefault="00BD324A" w:rsidP="00F154AD">
            <w:pPr>
              <w:jc w:val="center"/>
              <w:rPr>
                <w:rFonts w:cs="Calibri"/>
                <w:color w:val="000000"/>
              </w:rPr>
            </w:pPr>
          </w:p>
        </w:tc>
        <w:tc>
          <w:tcPr>
            <w:tcW w:w="1033" w:type="dxa"/>
            <w:tcBorders>
              <w:top w:val="nil"/>
              <w:left w:val="nil"/>
              <w:bottom w:val="nil"/>
              <w:right w:val="nil"/>
            </w:tcBorders>
            <w:vAlign w:val="bottom"/>
          </w:tcPr>
          <w:p w14:paraId="174A99B1" w14:textId="77777777" w:rsidR="00BD324A" w:rsidRPr="0055420F" w:rsidRDefault="00BD324A" w:rsidP="00F154AD">
            <w:pPr>
              <w:jc w:val="center"/>
              <w:rPr>
                <w:rFonts w:cs="Calibri"/>
                <w:color w:val="000000"/>
              </w:rPr>
            </w:pPr>
          </w:p>
        </w:tc>
        <w:tc>
          <w:tcPr>
            <w:tcW w:w="2172" w:type="dxa"/>
            <w:tcBorders>
              <w:top w:val="nil"/>
              <w:left w:val="nil"/>
              <w:bottom w:val="nil"/>
            </w:tcBorders>
            <w:vAlign w:val="bottom"/>
          </w:tcPr>
          <w:p w14:paraId="23F6CBC8" w14:textId="77777777" w:rsidR="00BD324A" w:rsidRPr="0055420F" w:rsidRDefault="00BD324A" w:rsidP="00F154AD">
            <w:pPr>
              <w:jc w:val="center"/>
              <w:rPr>
                <w:rFonts w:cs="Calibri"/>
                <w:color w:val="000000"/>
              </w:rPr>
            </w:pPr>
          </w:p>
        </w:tc>
      </w:tr>
      <w:tr w:rsidR="00BD324A" w:rsidRPr="0055420F" w14:paraId="2AFB12FB" w14:textId="77777777" w:rsidTr="00D12887">
        <w:trPr>
          <w:jc w:val="center"/>
        </w:trPr>
        <w:tc>
          <w:tcPr>
            <w:tcW w:w="2820" w:type="dxa"/>
            <w:tcBorders>
              <w:top w:val="nil"/>
              <w:bottom w:val="nil"/>
              <w:right w:val="nil"/>
            </w:tcBorders>
            <w:vAlign w:val="bottom"/>
          </w:tcPr>
          <w:p w14:paraId="37BE467F" w14:textId="77777777" w:rsidR="00BD324A" w:rsidRPr="0055420F" w:rsidRDefault="00BD324A" w:rsidP="00F154AD">
            <w:pPr>
              <w:jc w:val="center"/>
              <w:rPr>
                <w:rFonts w:cs="Calibri"/>
                <w:color w:val="000000"/>
              </w:rPr>
            </w:pPr>
            <w:r w:rsidRPr="0055420F">
              <w:rPr>
                <w:rFonts w:cs="Calibri"/>
                <w:color w:val="000000"/>
              </w:rPr>
              <w:t>Mean</w:t>
            </w:r>
          </w:p>
        </w:tc>
        <w:tc>
          <w:tcPr>
            <w:tcW w:w="1033" w:type="dxa"/>
            <w:tcBorders>
              <w:top w:val="nil"/>
              <w:left w:val="nil"/>
              <w:bottom w:val="nil"/>
              <w:right w:val="nil"/>
            </w:tcBorders>
            <w:vAlign w:val="bottom"/>
          </w:tcPr>
          <w:p w14:paraId="19A33561" w14:textId="77777777" w:rsidR="00BD324A" w:rsidRPr="0055420F" w:rsidRDefault="00BD324A" w:rsidP="00F154AD">
            <w:pPr>
              <w:jc w:val="center"/>
              <w:rPr>
                <w:rFonts w:cs="Calibri"/>
                <w:color w:val="000000"/>
              </w:rPr>
            </w:pPr>
            <w:r w:rsidRPr="0055420F">
              <w:rPr>
                <w:rFonts w:cs="Calibri"/>
                <w:color w:val="000000"/>
              </w:rPr>
              <w:t>Median</w:t>
            </w:r>
          </w:p>
        </w:tc>
        <w:tc>
          <w:tcPr>
            <w:tcW w:w="2172" w:type="dxa"/>
            <w:tcBorders>
              <w:top w:val="nil"/>
              <w:left w:val="nil"/>
              <w:bottom w:val="nil"/>
            </w:tcBorders>
            <w:vAlign w:val="bottom"/>
          </w:tcPr>
          <w:p w14:paraId="25438968" w14:textId="77777777" w:rsidR="00BD324A" w:rsidRPr="0055420F" w:rsidRDefault="00BD324A" w:rsidP="00F154AD">
            <w:pPr>
              <w:jc w:val="center"/>
              <w:rPr>
                <w:rFonts w:cs="Calibri"/>
                <w:color w:val="000000"/>
              </w:rPr>
            </w:pPr>
            <w:r w:rsidRPr="0055420F">
              <w:rPr>
                <w:rFonts w:cs="Calibri"/>
                <w:color w:val="000000"/>
              </w:rPr>
              <w:t>St. Dev.</w:t>
            </w:r>
          </w:p>
        </w:tc>
      </w:tr>
      <w:tr w:rsidR="00BD324A" w:rsidRPr="0055420F" w14:paraId="74DC80E6" w14:textId="77777777" w:rsidTr="00D12887">
        <w:trPr>
          <w:jc w:val="center"/>
        </w:trPr>
        <w:tc>
          <w:tcPr>
            <w:tcW w:w="2820" w:type="dxa"/>
            <w:tcBorders>
              <w:top w:val="nil"/>
              <w:bottom w:val="nil"/>
              <w:right w:val="nil"/>
            </w:tcBorders>
            <w:vAlign w:val="bottom"/>
          </w:tcPr>
          <w:p w14:paraId="7D13E37F" w14:textId="77777777" w:rsidR="00BD324A" w:rsidRPr="0055420F" w:rsidRDefault="00BD324A" w:rsidP="00F154AD">
            <w:pPr>
              <w:jc w:val="center"/>
              <w:rPr>
                <w:rFonts w:cs="Calibri"/>
                <w:color w:val="000000"/>
              </w:rPr>
            </w:pPr>
          </w:p>
        </w:tc>
        <w:tc>
          <w:tcPr>
            <w:tcW w:w="1033" w:type="dxa"/>
            <w:tcBorders>
              <w:top w:val="nil"/>
              <w:left w:val="nil"/>
              <w:bottom w:val="nil"/>
              <w:right w:val="nil"/>
            </w:tcBorders>
            <w:vAlign w:val="bottom"/>
          </w:tcPr>
          <w:p w14:paraId="7F0B87CD" w14:textId="77777777" w:rsidR="00BD324A" w:rsidRPr="0055420F" w:rsidRDefault="00BD324A" w:rsidP="00F154AD">
            <w:pPr>
              <w:jc w:val="center"/>
              <w:rPr>
                <w:rFonts w:cs="Calibri"/>
                <w:color w:val="000000"/>
              </w:rPr>
            </w:pPr>
          </w:p>
        </w:tc>
        <w:tc>
          <w:tcPr>
            <w:tcW w:w="2172" w:type="dxa"/>
            <w:tcBorders>
              <w:top w:val="nil"/>
              <w:left w:val="nil"/>
              <w:bottom w:val="nil"/>
            </w:tcBorders>
            <w:vAlign w:val="bottom"/>
          </w:tcPr>
          <w:p w14:paraId="7865CFA9" w14:textId="77777777" w:rsidR="00BD324A" w:rsidRPr="0055420F" w:rsidRDefault="00BD324A" w:rsidP="00F154AD">
            <w:pPr>
              <w:jc w:val="center"/>
              <w:rPr>
                <w:rFonts w:cs="Calibri"/>
                <w:color w:val="000000"/>
              </w:rPr>
            </w:pPr>
          </w:p>
        </w:tc>
      </w:tr>
      <w:tr w:rsidR="00BD324A" w:rsidRPr="0055420F" w14:paraId="33F88AA9" w14:textId="77777777" w:rsidTr="00D12887">
        <w:trPr>
          <w:jc w:val="center"/>
        </w:trPr>
        <w:tc>
          <w:tcPr>
            <w:tcW w:w="2820" w:type="dxa"/>
            <w:tcBorders>
              <w:top w:val="nil"/>
              <w:bottom w:val="nil"/>
              <w:right w:val="nil"/>
            </w:tcBorders>
            <w:vAlign w:val="bottom"/>
          </w:tcPr>
          <w:p w14:paraId="4A49F728" w14:textId="77777777" w:rsidR="00BD324A" w:rsidRPr="0055420F" w:rsidRDefault="00BD324A" w:rsidP="00F154AD">
            <w:pPr>
              <w:jc w:val="center"/>
              <w:rPr>
                <w:rFonts w:cs="Calibri"/>
                <w:color w:val="000000"/>
              </w:rPr>
            </w:pPr>
            <w:r w:rsidRPr="0055420F">
              <w:rPr>
                <w:rFonts w:cs="Calibri"/>
                <w:color w:val="000000"/>
              </w:rPr>
              <w:t>0.4738</w:t>
            </w:r>
          </w:p>
        </w:tc>
        <w:tc>
          <w:tcPr>
            <w:tcW w:w="1033" w:type="dxa"/>
            <w:tcBorders>
              <w:top w:val="nil"/>
              <w:left w:val="nil"/>
              <w:bottom w:val="nil"/>
              <w:right w:val="nil"/>
            </w:tcBorders>
            <w:vAlign w:val="bottom"/>
          </w:tcPr>
          <w:p w14:paraId="129BA043" w14:textId="77777777" w:rsidR="00BD324A" w:rsidRPr="0055420F" w:rsidRDefault="00BD324A" w:rsidP="00F154AD">
            <w:pPr>
              <w:jc w:val="center"/>
              <w:rPr>
                <w:rFonts w:cs="Calibri"/>
                <w:color w:val="000000"/>
              </w:rPr>
            </w:pPr>
            <w:r w:rsidRPr="0055420F">
              <w:rPr>
                <w:rFonts w:cs="Calibri"/>
                <w:color w:val="000000"/>
              </w:rPr>
              <w:t>0.3160</w:t>
            </w:r>
          </w:p>
        </w:tc>
        <w:tc>
          <w:tcPr>
            <w:tcW w:w="2172" w:type="dxa"/>
            <w:tcBorders>
              <w:top w:val="nil"/>
              <w:left w:val="nil"/>
              <w:bottom w:val="nil"/>
            </w:tcBorders>
            <w:vAlign w:val="bottom"/>
          </w:tcPr>
          <w:p w14:paraId="775FDEF0" w14:textId="77777777" w:rsidR="00BD324A" w:rsidRPr="0055420F" w:rsidRDefault="00BD324A" w:rsidP="00F154AD">
            <w:pPr>
              <w:jc w:val="center"/>
              <w:rPr>
                <w:rFonts w:cs="Calibri"/>
                <w:color w:val="000000"/>
              </w:rPr>
            </w:pPr>
            <w:r w:rsidRPr="0055420F">
              <w:rPr>
                <w:rFonts w:cs="Calibri"/>
                <w:color w:val="000000"/>
              </w:rPr>
              <w:t>5.3668</w:t>
            </w:r>
          </w:p>
        </w:tc>
      </w:tr>
      <w:tr w:rsidR="00BD324A" w:rsidRPr="0055420F" w14:paraId="5E5A074A" w14:textId="77777777" w:rsidTr="00D12887">
        <w:trPr>
          <w:jc w:val="center"/>
        </w:trPr>
        <w:tc>
          <w:tcPr>
            <w:tcW w:w="2820" w:type="dxa"/>
            <w:tcBorders>
              <w:top w:val="nil"/>
              <w:bottom w:val="single" w:sz="4" w:space="0" w:color="auto"/>
              <w:right w:val="nil"/>
            </w:tcBorders>
          </w:tcPr>
          <w:p w14:paraId="60EC3768" w14:textId="77777777" w:rsidR="00BD324A" w:rsidRPr="0055420F" w:rsidRDefault="00BD324A" w:rsidP="00F154AD">
            <w:pPr>
              <w:jc w:val="center"/>
            </w:pPr>
          </w:p>
        </w:tc>
        <w:tc>
          <w:tcPr>
            <w:tcW w:w="1033" w:type="dxa"/>
            <w:tcBorders>
              <w:top w:val="nil"/>
              <w:left w:val="nil"/>
              <w:bottom w:val="single" w:sz="4" w:space="0" w:color="auto"/>
              <w:right w:val="nil"/>
            </w:tcBorders>
          </w:tcPr>
          <w:p w14:paraId="61166B98" w14:textId="77777777" w:rsidR="00BD324A" w:rsidRPr="0055420F" w:rsidRDefault="00BD324A" w:rsidP="00F154AD">
            <w:pPr>
              <w:jc w:val="center"/>
            </w:pPr>
          </w:p>
        </w:tc>
        <w:tc>
          <w:tcPr>
            <w:tcW w:w="2172" w:type="dxa"/>
            <w:tcBorders>
              <w:top w:val="nil"/>
              <w:left w:val="nil"/>
              <w:bottom w:val="single" w:sz="4" w:space="0" w:color="auto"/>
            </w:tcBorders>
          </w:tcPr>
          <w:p w14:paraId="342A85C1" w14:textId="77777777" w:rsidR="00BD324A" w:rsidRPr="0055420F" w:rsidRDefault="00BD324A" w:rsidP="00F154AD">
            <w:pPr>
              <w:jc w:val="center"/>
            </w:pPr>
          </w:p>
        </w:tc>
      </w:tr>
      <w:tr w:rsidR="00BD324A" w:rsidRPr="0055420F" w14:paraId="4A12434E" w14:textId="77777777" w:rsidTr="00D12887">
        <w:trPr>
          <w:jc w:val="center"/>
        </w:trPr>
        <w:tc>
          <w:tcPr>
            <w:tcW w:w="6025" w:type="dxa"/>
            <w:gridSpan w:val="3"/>
            <w:tcBorders>
              <w:bottom w:val="nil"/>
            </w:tcBorders>
          </w:tcPr>
          <w:p w14:paraId="3ED69B58" w14:textId="77777777" w:rsidR="00BD324A" w:rsidRPr="0055420F" w:rsidRDefault="00BD324A" w:rsidP="00F154AD">
            <w:pPr>
              <w:jc w:val="center"/>
            </w:pPr>
            <w:r w:rsidRPr="0055420F">
              <w:t>Crisis 1: 9-Aug-07 - 12-Sep-08</w:t>
            </w:r>
          </w:p>
        </w:tc>
      </w:tr>
      <w:tr w:rsidR="00BD324A" w:rsidRPr="0055420F" w14:paraId="7618A5CA" w14:textId="77777777" w:rsidTr="00D12887">
        <w:trPr>
          <w:jc w:val="center"/>
        </w:trPr>
        <w:tc>
          <w:tcPr>
            <w:tcW w:w="2820" w:type="dxa"/>
            <w:tcBorders>
              <w:top w:val="nil"/>
              <w:bottom w:val="nil"/>
              <w:right w:val="nil"/>
            </w:tcBorders>
            <w:vAlign w:val="bottom"/>
          </w:tcPr>
          <w:p w14:paraId="39ACD3FD" w14:textId="77777777" w:rsidR="00BD324A" w:rsidRPr="0055420F" w:rsidRDefault="00BD324A" w:rsidP="00F154AD">
            <w:pPr>
              <w:jc w:val="center"/>
              <w:rPr>
                <w:rFonts w:cs="Calibri"/>
                <w:color w:val="000000"/>
              </w:rPr>
            </w:pPr>
          </w:p>
        </w:tc>
        <w:tc>
          <w:tcPr>
            <w:tcW w:w="1033" w:type="dxa"/>
            <w:tcBorders>
              <w:top w:val="nil"/>
              <w:left w:val="nil"/>
              <w:bottom w:val="nil"/>
              <w:right w:val="nil"/>
            </w:tcBorders>
            <w:vAlign w:val="bottom"/>
          </w:tcPr>
          <w:p w14:paraId="364D63C8" w14:textId="77777777" w:rsidR="00BD324A" w:rsidRPr="0055420F" w:rsidRDefault="00BD324A" w:rsidP="00F154AD">
            <w:pPr>
              <w:jc w:val="center"/>
              <w:rPr>
                <w:rFonts w:cs="Calibri"/>
                <w:color w:val="000000"/>
              </w:rPr>
            </w:pPr>
          </w:p>
        </w:tc>
        <w:tc>
          <w:tcPr>
            <w:tcW w:w="2172" w:type="dxa"/>
            <w:tcBorders>
              <w:top w:val="nil"/>
              <w:left w:val="nil"/>
              <w:bottom w:val="nil"/>
            </w:tcBorders>
            <w:vAlign w:val="bottom"/>
          </w:tcPr>
          <w:p w14:paraId="51F9C573" w14:textId="77777777" w:rsidR="00BD324A" w:rsidRPr="0055420F" w:rsidRDefault="00BD324A" w:rsidP="00F154AD">
            <w:pPr>
              <w:jc w:val="center"/>
              <w:rPr>
                <w:rFonts w:cs="Calibri"/>
                <w:color w:val="000000"/>
              </w:rPr>
            </w:pPr>
          </w:p>
        </w:tc>
      </w:tr>
      <w:tr w:rsidR="00BD324A" w:rsidRPr="0055420F" w14:paraId="0D9B10AD" w14:textId="77777777" w:rsidTr="00D12887">
        <w:trPr>
          <w:jc w:val="center"/>
        </w:trPr>
        <w:tc>
          <w:tcPr>
            <w:tcW w:w="2820" w:type="dxa"/>
            <w:tcBorders>
              <w:top w:val="nil"/>
              <w:bottom w:val="nil"/>
              <w:right w:val="nil"/>
            </w:tcBorders>
            <w:vAlign w:val="bottom"/>
          </w:tcPr>
          <w:p w14:paraId="2A9D2E7F" w14:textId="77777777" w:rsidR="00BD324A" w:rsidRPr="0055420F" w:rsidRDefault="00BD324A" w:rsidP="00F154AD">
            <w:pPr>
              <w:jc w:val="center"/>
              <w:rPr>
                <w:rFonts w:cs="Calibri"/>
                <w:color w:val="000000"/>
              </w:rPr>
            </w:pPr>
            <w:r w:rsidRPr="0055420F">
              <w:rPr>
                <w:rFonts w:cs="Calibri"/>
                <w:color w:val="000000"/>
              </w:rPr>
              <w:t>-3.8898***</w:t>
            </w:r>
          </w:p>
        </w:tc>
        <w:tc>
          <w:tcPr>
            <w:tcW w:w="1033" w:type="dxa"/>
            <w:tcBorders>
              <w:top w:val="nil"/>
              <w:left w:val="nil"/>
              <w:bottom w:val="nil"/>
              <w:right w:val="nil"/>
            </w:tcBorders>
            <w:vAlign w:val="bottom"/>
          </w:tcPr>
          <w:p w14:paraId="6B0D7834" w14:textId="3AF5119D" w:rsidR="00BD324A" w:rsidRPr="0055420F" w:rsidRDefault="00BD324A" w:rsidP="00F154AD">
            <w:pPr>
              <w:jc w:val="center"/>
              <w:rPr>
                <w:rFonts w:cs="Calibri"/>
                <w:color w:val="000000"/>
              </w:rPr>
            </w:pPr>
            <w:r w:rsidRPr="0055420F">
              <w:rPr>
                <w:rFonts w:cs="Calibri"/>
                <w:color w:val="000000"/>
              </w:rPr>
              <w:t>-2.404</w:t>
            </w:r>
            <w:r w:rsidR="0055420F">
              <w:rPr>
                <w:rFonts w:cs="Calibri"/>
                <w:color w:val="000000"/>
              </w:rPr>
              <w:t>0</w:t>
            </w:r>
          </w:p>
        </w:tc>
        <w:tc>
          <w:tcPr>
            <w:tcW w:w="2172" w:type="dxa"/>
            <w:tcBorders>
              <w:top w:val="nil"/>
              <w:left w:val="nil"/>
              <w:bottom w:val="nil"/>
            </w:tcBorders>
            <w:vAlign w:val="bottom"/>
          </w:tcPr>
          <w:p w14:paraId="7EC95A53" w14:textId="77777777" w:rsidR="00BD324A" w:rsidRPr="0055420F" w:rsidRDefault="00BD324A" w:rsidP="00F154AD">
            <w:pPr>
              <w:jc w:val="center"/>
              <w:rPr>
                <w:rFonts w:cs="Calibri"/>
                <w:color w:val="000000"/>
              </w:rPr>
            </w:pPr>
            <w:r w:rsidRPr="0055420F">
              <w:rPr>
                <w:rFonts w:cs="Calibri"/>
                <w:color w:val="000000"/>
              </w:rPr>
              <w:t>8.4637</w:t>
            </w:r>
          </w:p>
        </w:tc>
      </w:tr>
      <w:tr w:rsidR="00BD324A" w:rsidRPr="0055420F" w14:paraId="0EB3BD1D" w14:textId="77777777" w:rsidTr="00D12887">
        <w:trPr>
          <w:jc w:val="center"/>
        </w:trPr>
        <w:tc>
          <w:tcPr>
            <w:tcW w:w="2820" w:type="dxa"/>
            <w:tcBorders>
              <w:top w:val="nil"/>
              <w:bottom w:val="single" w:sz="4" w:space="0" w:color="auto"/>
              <w:right w:val="nil"/>
            </w:tcBorders>
          </w:tcPr>
          <w:p w14:paraId="10DB6D54" w14:textId="77777777" w:rsidR="00BD324A" w:rsidRPr="0055420F" w:rsidRDefault="00BD324A" w:rsidP="00F154AD">
            <w:pPr>
              <w:jc w:val="center"/>
            </w:pPr>
          </w:p>
        </w:tc>
        <w:tc>
          <w:tcPr>
            <w:tcW w:w="1033" w:type="dxa"/>
            <w:tcBorders>
              <w:top w:val="nil"/>
              <w:left w:val="nil"/>
              <w:bottom w:val="single" w:sz="4" w:space="0" w:color="auto"/>
              <w:right w:val="nil"/>
            </w:tcBorders>
          </w:tcPr>
          <w:p w14:paraId="4CFDF6FF" w14:textId="77777777" w:rsidR="00BD324A" w:rsidRPr="0055420F" w:rsidRDefault="00BD324A" w:rsidP="00F154AD">
            <w:pPr>
              <w:jc w:val="center"/>
            </w:pPr>
          </w:p>
        </w:tc>
        <w:tc>
          <w:tcPr>
            <w:tcW w:w="2172" w:type="dxa"/>
            <w:tcBorders>
              <w:top w:val="nil"/>
              <w:left w:val="nil"/>
              <w:bottom w:val="single" w:sz="4" w:space="0" w:color="auto"/>
            </w:tcBorders>
          </w:tcPr>
          <w:p w14:paraId="45F9796A" w14:textId="77777777" w:rsidR="00BD324A" w:rsidRPr="0055420F" w:rsidRDefault="00BD324A" w:rsidP="00F154AD">
            <w:pPr>
              <w:jc w:val="center"/>
            </w:pPr>
          </w:p>
        </w:tc>
      </w:tr>
      <w:tr w:rsidR="00BD324A" w:rsidRPr="0055420F" w14:paraId="3A6F7196" w14:textId="77777777" w:rsidTr="00D12887">
        <w:trPr>
          <w:jc w:val="center"/>
        </w:trPr>
        <w:tc>
          <w:tcPr>
            <w:tcW w:w="6025" w:type="dxa"/>
            <w:gridSpan w:val="3"/>
            <w:tcBorders>
              <w:bottom w:val="nil"/>
            </w:tcBorders>
          </w:tcPr>
          <w:p w14:paraId="206AC0B4" w14:textId="77777777" w:rsidR="00BD324A" w:rsidRPr="0055420F" w:rsidRDefault="00BD324A" w:rsidP="00F154AD">
            <w:pPr>
              <w:jc w:val="center"/>
            </w:pPr>
            <w:r w:rsidRPr="0055420F">
              <w:t>Crisis 2: 16-Sep-08 - 1-Apr-09</w:t>
            </w:r>
          </w:p>
        </w:tc>
      </w:tr>
      <w:tr w:rsidR="00BD324A" w:rsidRPr="0055420F" w14:paraId="266E8230" w14:textId="77777777" w:rsidTr="00D12887">
        <w:trPr>
          <w:jc w:val="center"/>
        </w:trPr>
        <w:tc>
          <w:tcPr>
            <w:tcW w:w="2820" w:type="dxa"/>
            <w:tcBorders>
              <w:top w:val="nil"/>
              <w:bottom w:val="nil"/>
              <w:right w:val="nil"/>
            </w:tcBorders>
            <w:vAlign w:val="bottom"/>
          </w:tcPr>
          <w:p w14:paraId="60656A2C" w14:textId="77777777" w:rsidR="00BD324A" w:rsidRPr="0055420F" w:rsidRDefault="00BD324A" w:rsidP="00F154AD">
            <w:pPr>
              <w:jc w:val="center"/>
              <w:rPr>
                <w:rFonts w:cs="Calibri"/>
                <w:color w:val="000000"/>
              </w:rPr>
            </w:pPr>
          </w:p>
        </w:tc>
        <w:tc>
          <w:tcPr>
            <w:tcW w:w="1033" w:type="dxa"/>
            <w:tcBorders>
              <w:top w:val="nil"/>
              <w:left w:val="nil"/>
              <w:bottom w:val="nil"/>
              <w:right w:val="nil"/>
            </w:tcBorders>
            <w:vAlign w:val="bottom"/>
          </w:tcPr>
          <w:p w14:paraId="2DA6FC4B" w14:textId="77777777" w:rsidR="00BD324A" w:rsidRPr="0055420F" w:rsidRDefault="00BD324A" w:rsidP="00F154AD">
            <w:pPr>
              <w:jc w:val="center"/>
              <w:rPr>
                <w:rFonts w:cs="Calibri"/>
                <w:color w:val="000000"/>
              </w:rPr>
            </w:pPr>
          </w:p>
        </w:tc>
        <w:tc>
          <w:tcPr>
            <w:tcW w:w="2172" w:type="dxa"/>
            <w:tcBorders>
              <w:top w:val="nil"/>
              <w:left w:val="nil"/>
              <w:bottom w:val="nil"/>
            </w:tcBorders>
            <w:vAlign w:val="bottom"/>
          </w:tcPr>
          <w:p w14:paraId="7A2988B5" w14:textId="77777777" w:rsidR="00BD324A" w:rsidRPr="0055420F" w:rsidRDefault="00BD324A" w:rsidP="00F154AD">
            <w:pPr>
              <w:jc w:val="center"/>
              <w:rPr>
                <w:rFonts w:cs="Calibri"/>
                <w:color w:val="000000"/>
              </w:rPr>
            </w:pPr>
          </w:p>
        </w:tc>
      </w:tr>
      <w:tr w:rsidR="00BD324A" w:rsidRPr="0055420F" w14:paraId="72A27973" w14:textId="77777777" w:rsidTr="00D12887">
        <w:trPr>
          <w:jc w:val="center"/>
        </w:trPr>
        <w:tc>
          <w:tcPr>
            <w:tcW w:w="2820" w:type="dxa"/>
            <w:tcBorders>
              <w:top w:val="nil"/>
              <w:bottom w:val="nil"/>
              <w:right w:val="nil"/>
            </w:tcBorders>
            <w:vAlign w:val="bottom"/>
          </w:tcPr>
          <w:p w14:paraId="78853DC8" w14:textId="77777777" w:rsidR="00BD324A" w:rsidRPr="0055420F" w:rsidRDefault="00BD324A" w:rsidP="00F154AD">
            <w:pPr>
              <w:jc w:val="center"/>
              <w:rPr>
                <w:rFonts w:cs="Calibri"/>
                <w:color w:val="000000"/>
              </w:rPr>
            </w:pPr>
            <w:r w:rsidRPr="0055420F">
              <w:rPr>
                <w:rFonts w:cs="Calibri"/>
                <w:color w:val="000000"/>
              </w:rPr>
              <w:t>-9.1711***</w:t>
            </w:r>
          </w:p>
        </w:tc>
        <w:tc>
          <w:tcPr>
            <w:tcW w:w="1033" w:type="dxa"/>
            <w:tcBorders>
              <w:top w:val="nil"/>
              <w:left w:val="nil"/>
              <w:bottom w:val="nil"/>
              <w:right w:val="nil"/>
            </w:tcBorders>
            <w:vAlign w:val="bottom"/>
          </w:tcPr>
          <w:p w14:paraId="2AA01366" w14:textId="77777777" w:rsidR="00BD324A" w:rsidRPr="0055420F" w:rsidRDefault="00BD324A" w:rsidP="00F154AD">
            <w:pPr>
              <w:jc w:val="center"/>
              <w:rPr>
                <w:rFonts w:cs="Calibri"/>
                <w:color w:val="000000"/>
              </w:rPr>
            </w:pPr>
            <w:r w:rsidRPr="0055420F">
              <w:rPr>
                <w:rFonts w:cs="Calibri"/>
                <w:color w:val="000000"/>
              </w:rPr>
              <w:t>-8.5767</w:t>
            </w:r>
          </w:p>
        </w:tc>
        <w:tc>
          <w:tcPr>
            <w:tcW w:w="2172" w:type="dxa"/>
            <w:tcBorders>
              <w:top w:val="nil"/>
              <w:left w:val="nil"/>
              <w:bottom w:val="nil"/>
            </w:tcBorders>
            <w:vAlign w:val="bottom"/>
          </w:tcPr>
          <w:p w14:paraId="5A14FFB4" w14:textId="2D49B6F5" w:rsidR="00BD324A" w:rsidRPr="0055420F" w:rsidRDefault="00BD324A" w:rsidP="0055420F">
            <w:pPr>
              <w:jc w:val="center"/>
              <w:rPr>
                <w:rFonts w:cs="Calibri"/>
                <w:color w:val="000000"/>
              </w:rPr>
            </w:pPr>
            <w:r w:rsidRPr="0055420F">
              <w:rPr>
                <w:rFonts w:cs="Calibri"/>
                <w:color w:val="000000"/>
              </w:rPr>
              <w:t>22.06</w:t>
            </w:r>
            <w:r w:rsidR="0055420F">
              <w:rPr>
                <w:rFonts w:cs="Calibri"/>
                <w:color w:val="000000"/>
              </w:rPr>
              <w:t>1</w:t>
            </w:r>
          </w:p>
        </w:tc>
      </w:tr>
      <w:tr w:rsidR="00BD324A" w:rsidRPr="0055420F" w14:paraId="0CB328A0" w14:textId="77777777" w:rsidTr="00D12887">
        <w:trPr>
          <w:jc w:val="center"/>
        </w:trPr>
        <w:tc>
          <w:tcPr>
            <w:tcW w:w="2820" w:type="dxa"/>
            <w:tcBorders>
              <w:top w:val="nil"/>
              <w:bottom w:val="single" w:sz="4" w:space="0" w:color="auto"/>
              <w:right w:val="nil"/>
            </w:tcBorders>
            <w:vAlign w:val="bottom"/>
          </w:tcPr>
          <w:p w14:paraId="5E1A218B" w14:textId="77777777" w:rsidR="00BD324A" w:rsidRPr="0055420F" w:rsidRDefault="00BD324A" w:rsidP="00F154AD">
            <w:pPr>
              <w:jc w:val="center"/>
              <w:rPr>
                <w:rFonts w:cs="Calibri"/>
                <w:color w:val="000000"/>
              </w:rPr>
            </w:pPr>
          </w:p>
        </w:tc>
        <w:tc>
          <w:tcPr>
            <w:tcW w:w="1033" w:type="dxa"/>
            <w:tcBorders>
              <w:top w:val="nil"/>
              <w:left w:val="nil"/>
              <w:bottom w:val="single" w:sz="4" w:space="0" w:color="auto"/>
              <w:right w:val="nil"/>
            </w:tcBorders>
            <w:vAlign w:val="bottom"/>
          </w:tcPr>
          <w:p w14:paraId="2B85B993" w14:textId="77777777" w:rsidR="00BD324A" w:rsidRPr="0055420F" w:rsidRDefault="00BD324A" w:rsidP="00F154AD">
            <w:pPr>
              <w:jc w:val="center"/>
              <w:rPr>
                <w:rFonts w:cs="Calibri"/>
                <w:color w:val="000000"/>
              </w:rPr>
            </w:pPr>
          </w:p>
        </w:tc>
        <w:tc>
          <w:tcPr>
            <w:tcW w:w="2172" w:type="dxa"/>
            <w:tcBorders>
              <w:top w:val="nil"/>
              <w:left w:val="nil"/>
              <w:bottom w:val="single" w:sz="4" w:space="0" w:color="auto"/>
            </w:tcBorders>
            <w:vAlign w:val="bottom"/>
          </w:tcPr>
          <w:p w14:paraId="442CFB58" w14:textId="77777777" w:rsidR="00BD324A" w:rsidRPr="0055420F" w:rsidRDefault="00BD324A" w:rsidP="00F154AD">
            <w:pPr>
              <w:jc w:val="center"/>
              <w:rPr>
                <w:rFonts w:cs="Calibri"/>
                <w:color w:val="000000"/>
              </w:rPr>
            </w:pPr>
          </w:p>
        </w:tc>
      </w:tr>
      <w:tr w:rsidR="00BD324A" w:rsidRPr="0055420F" w14:paraId="0184A206" w14:textId="77777777" w:rsidTr="00D12887">
        <w:trPr>
          <w:jc w:val="center"/>
        </w:trPr>
        <w:tc>
          <w:tcPr>
            <w:tcW w:w="6025" w:type="dxa"/>
            <w:gridSpan w:val="3"/>
            <w:tcBorders>
              <w:bottom w:val="nil"/>
            </w:tcBorders>
          </w:tcPr>
          <w:p w14:paraId="502A4ACE" w14:textId="77777777" w:rsidR="00BD324A" w:rsidRPr="0055420F" w:rsidRDefault="00BD324A" w:rsidP="00F154AD">
            <w:pPr>
              <w:jc w:val="center"/>
            </w:pPr>
            <w:r w:rsidRPr="0055420F">
              <w:t>Post-Crisis: 2-Apr-09 - 31-Mar-10</w:t>
            </w:r>
          </w:p>
        </w:tc>
      </w:tr>
      <w:tr w:rsidR="00BD324A" w:rsidRPr="0055420F" w14:paraId="273C6F63" w14:textId="77777777" w:rsidTr="00D12887">
        <w:trPr>
          <w:jc w:val="center"/>
        </w:trPr>
        <w:tc>
          <w:tcPr>
            <w:tcW w:w="2820" w:type="dxa"/>
            <w:tcBorders>
              <w:top w:val="nil"/>
              <w:bottom w:val="nil"/>
              <w:right w:val="nil"/>
            </w:tcBorders>
            <w:vAlign w:val="bottom"/>
          </w:tcPr>
          <w:p w14:paraId="584863D8" w14:textId="77777777" w:rsidR="00BD324A" w:rsidRPr="0055420F" w:rsidRDefault="00BD324A" w:rsidP="00F154AD">
            <w:pPr>
              <w:jc w:val="center"/>
              <w:rPr>
                <w:rFonts w:cs="Calibri"/>
                <w:color w:val="000000"/>
              </w:rPr>
            </w:pPr>
          </w:p>
        </w:tc>
        <w:tc>
          <w:tcPr>
            <w:tcW w:w="1033" w:type="dxa"/>
            <w:tcBorders>
              <w:top w:val="nil"/>
              <w:left w:val="nil"/>
              <w:bottom w:val="nil"/>
              <w:right w:val="nil"/>
            </w:tcBorders>
            <w:vAlign w:val="bottom"/>
          </w:tcPr>
          <w:p w14:paraId="6C2B40FD" w14:textId="77777777" w:rsidR="00BD324A" w:rsidRPr="0055420F" w:rsidRDefault="00BD324A" w:rsidP="00F154AD">
            <w:pPr>
              <w:jc w:val="center"/>
              <w:rPr>
                <w:rFonts w:cs="Calibri"/>
                <w:color w:val="000000"/>
              </w:rPr>
            </w:pPr>
          </w:p>
        </w:tc>
        <w:tc>
          <w:tcPr>
            <w:tcW w:w="2172" w:type="dxa"/>
            <w:tcBorders>
              <w:top w:val="nil"/>
              <w:left w:val="nil"/>
              <w:bottom w:val="nil"/>
            </w:tcBorders>
            <w:vAlign w:val="bottom"/>
          </w:tcPr>
          <w:p w14:paraId="52692850" w14:textId="77777777" w:rsidR="00BD324A" w:rsidRPr="0055420F" w:rsidRDefault="00BD324A" w:rsidP="00F154AD">
            <w:pPr>
              <w:jc w:val="center"/>
              <w:rPr>
                <w:rFonts w:cs="Calibri"/>
                <w:color w:val="000000"/>
              </w:rPr>
            </w:pPr>
          </w:p>
        </w:tc>
      </w:tr>
      <w:tr w:rsidR="00BD324A" w:rsidRPr="0055420F" w14:paraId="1D65CF78" w14:textId="77777777" w:rsidTr="00D12887">
        <w:trPr>
          <w:jc w:val="center"/>
        </w:trPr>
        <w:tc>
          <w:tcPr>
            <w:tcW w:w="2820" w:type="dxa"/>
            <w:tcBorders>
              <w:top w:val="nil"/>
              <w:bottom w:val="nil"/>
              <w:right w:val="nil"/>
            </w:tcBorders>
            <w:vAlign w:val="bottom"/>
          </w:tcPr>
          <w:p w14:paraId="5489F923" w14:textId="77777777" w:rsidR="00BD324A" w:rsidRPr="0055420F" w:rsidRDefault="00BD324A" w:rsidP="00F154AD">
            <w:pPr>
              <w:jc w:val="center"/>
              <w:rPr>
                <w:rFonts w:cs="Calibri"/>
                <w:color w:val="000000"/>
              </w:rPr>
            </w:pPr>
            <w:r w:rsidRPr="0055420F">
              <w:rPr>
                <w:rFonts w:cs="Calibri"/>
                <w:color w:val="000000"/>
              </w:rPr>
              <w:t>2.4379**</w:t>
            </w:r>
          </w:p>
        </w:tc>
        <w:tc>
          <w:tcPr>
            <w:tcW w:w="1033" w:type="dxa"/>
            <w:tcBorders>
              <w:top w:val="nil"/>
              <w:left w:val="nil"/>
              <w:bottom w:val="nil"/>
              <w:right w:val="nil"/>
            </w:tcBorders>
            <w:vAlign w:val="bottom"/>
          </w:tcPr>
          <w:p w14:paraId="4C279B31" w14:textId="77777777" w:rsidR="00BD324A" w:rsidRPr="0055420F" w:rsidRDefault="00BD324A" w:rsidP="00F154AD">
            <w:pPr>
              <w:jc w:val="center"/>
              <w:rPr>
                <w:rFonts w:cs="Calibri"/>
                <w:color w:val="000000"/>
              </w:rPr>
            </w:pPr>
            <w:r w:rsidRPr="0055420F">
              <w:rPr>
                <w:rFonts w:cs="Calibri"/>
                <w:color w:val="000000"/>
              </w:rPr>
              <w:t>0.1933</w:t>
            </w:r>
          </w:p>
        </w:tc>
        <w:tc>
          <w:tcPr>
            <w:tcW w:w="2172" w:type="dxa"/>
            <w:tcBorders>
              <w:top w:val="nil"/>
              <w:left w:val="nil"/>
              <w:bottom w:val="nil"/>
            </w:tcBorders>
            <w:vAlign w:val="bottom"/>
          </w:tcPr>
          <w:p w14:paraId="26797AB9" w14:textId="38E9616F" w:rsidR="00BD324A" w:rsidRPr="0055420F" w:rsidRDefault="00BD324A" w:rsidP="0055420F">
            <w:pPr>
              <w:jc w:val="center"/>
              <w:rPr>
                <w:rFonts w:cs="Calibri"/>
                <w:color w:val="000000"/>
              </w:rPr>
            </w:pPr>
            <w:r w:rsidRPr="0055420F">
              <w:rPr>
                <w:rFonts w:cs="Calibri"/>
                <w:color w:val="000000"/>
              </w:rPr>
              <w:t>12.42</w:t>
            </w:r>
            <w:r w:rsidR="0055420F">
              <w:rPr>
                <w:rFonts w:cs="Calibri"/>
                <w:color w:val="000000"/>
              </w:rPr>
              <w:t>7</w:t>
            </w:r>
          </w:p>
        </w:tc>
      </w:tr>
      <w:tr w:rsidR="00BD324A" w:rsidRPr="0055420F" w14:paraId="7239D739" w14:textId="77777777" w:rsidTr="00D12887">
        <w:trPr>
          <w:jc w:val="center"/>
        </w:trPr>
        <w:tc>
          <w:tcPr>
            <w:tcW w:w="2820" w:type="dxa"/>
            <w:tcBorders>
              <w:top w:val="nil"/>
              <w:bottom w:val="single" w:sz="4" w:space="0" w:color="auto"/>
              <w:right w:val="nil"/>
            </w:tcBorders>
            <w:vAlign w:val="bottom"/>
          </w:tcPr>
          <w:p w14:paraId="65D4F446" w14:textId="77777777" w:rsidR="00BD324A" w:rsidRPr="0055420F" w:rsidRDefault="00BD324A" w:rsidP="00F154AD">
            <w:pPr>
              <w:jc w:val="center"/>
              <w:rPr>
                <w:rFonts w:cs="Calibri"/>
                <w:color w:val="000000"/>
              </w:rPr>
            </w:pPr>
          </w:p>
        </w:tc>
        <w:tc>
          <w:tcPr>
            <w:tcW w:w="1033" w:type="dxa"/>
            <w:tcBorders>
              <w:top w:val="nil"/>
              <w:left w:val="nil"/>
              <w:bottom w:val="single" w:sz="4" w:space="0" w:color="auto"/>
              <w:right w:val="nil"/>
            </w:tcBorders>
            <w:vAlign w:val="bottom"/>
          </w:tcPr>
          <w:p w14:paraId="35AC1EC9" w14:textId="77777777" w:rsidR="00BD324A" w:rsidRPr="0055420F" w:rsidRDefault="00BD324A" w:rsidP="00F154AD">
            <w:pPr>
              <w:jc w:val="center"/>
              <w:rPr>
                <w:rFonts w:cs="Calibri"/>
                <w:color w:val="000000"/>
              </w:rPr>
            </w:pPr>
          </w:p>
        </w:tc>
        <w:tc>
          <w:tcPr>
            <w:tcW w:w="2172" w:type="dxa"/>
            <w:tcBorders>
              <w:top w:val="nil"/>
              <w:left w:val="nil"/>
              <w:bottom w:val="single" w:sz="4" w:space="0" w:color="auto"/>
            </w:tcBorders>
            <w:vAlign w:val="bottom"/>
          </w:tcPr>
          <w:p w14:paraId="2725DA71" w14:textId="77777777" w:rsidR="00BD324A" w:rsidRPr="0055420F" w:rsidRDefault="00BD324A" w:rsidP="00F154AD">
            <w:pPr>
              <w:jc w:val="center"/>
              <w:rPr>
                <w:rFonts w:cs="Calibri"/>
                <w:color w:val="000000"/>
              </w:rPr>
            </w:pPr>
          </w:p>
        </w:tc>
      </w:tr>
      <w:tr w:rsidR="00BD324A" w:rsidRPr="0055420F" w14:paraId="6CC3FA15" w14:textId="77777777" w:rsidTr="00D12887">
        <w:trPr>
          <w:cantSplit/>
          <w:trHeight w:val="1134"/>
          <w:jc w:val="center"/>
        </w:trPr>
        <w:tc>
          <w:tcPr>
            <w:tcW w:w="6025" w:type="dxa"/>
            <w:gridSpan w:val="3"/>
            <w:tcBorders>
              <w:top w:val="single" w:sz="4" w:space="0" w:color="auto"/>
              <w:bottom w:val="single" w:sz="4" w:space="0" w:color="auto"/>
            </w:tcBorders>
          </w:tcPr>
          <w:p w14:paraId="11C9D138" w14:textId="77777777" w:rsidR="0055420F" w:rsidRDefault="0055420F" w:rsidP="00F154AD">
            <w:pPr>
              <w:rPr>
                <w:sz w:val="20"/>
                <w:szCs w:val="20"/>
              </w:rPr>
            </w:pPr>
          </w:p>
          <w:p w14:paraId="066C1409" w14:textId="77777777" w:rsidR="00BD324A" w:rsidRDefault="00BD324A" w:rsidP="00F154AD">
            <w:pPr>
              <w:rPr>
                <w:sz w:val="20"/>
                <w:szCs w:val="20"/>
              </w:rPr>
            </w:pPr>
            <w:r w:rsidRPr="0055420F">
              <w:rPr>
                <w:sz w:val="20"/>
                <w:szCs w:val="20"/>
              </w:rPr>
              <w:t>*, ** and *** refer to significance levels of 10%, 5% and 1% for testing the mean difference between each sub-period and the pre-crisis period which we use as benchmark. Standard errors are computed using bootstrapping.</w:t>
            </w:r>
          </w:p>
          <w:p w14:paraId="30028C0F" w14:textId="77777777" w:rsidR="0055420F" w:rsidRPr="0055420F" w:rsidRDefault="0055420F" w:rsidP="00F154AD">
            <w:pPr>
              <w:rPr>
                <w:rFonts w:cs="Calibri"/>
                <w:color w:val="000000"/>
                <w:sz w:val="20"/>
                <w:szCs w:val="20"/>
              </w:rPr>
            </w:pPr>
          </w:p>
        </w:tc>
      </w:tr>
    </w:tbl>
    <w:p w14:paraId="355DE147" w14:textId="77777777" w:rsidR="00BD324A" w:rsidRDefault="00BD324A" w:rsidP="00BD324A">
      <w:r>
        <w:br w:type="page"/>
      </w:r>
    </w:p>
    <w:p w14:paraId="6D983F20" w14:textId="77777777" w:rsidR="00BD324A" w:rsidRDefault="00BD324A"/>
    <w:p w14:paraId="070301AA" w14:textId="77777777" w:rsidR="006711E1" w:rsidRDefault="006711E1" w:rsidP="006711E1"/>
    <w:tbl>
      <w:tblPr>
        <w:tblStyle w:val="TableGrid"/>
        <w:tblW w:w="0" w:type="auto"/>
        <w:jc w:val="center"/>
        <w:tblCellMar>
          <w:left w:w="115" w:type="dxa"/>
          <w:right w:w="115" w:type="dxa"/>
        </w:tblCellMar>
        <w:tblLook w:val="04A0" w:firstRow="1" w:lastRow="0" w:firstColumn="1" w:lastColumn="0" w:noHBand="0" w:noVBand="1"/>
      </w:tblPr>
      <w:tblGrid>
        <w:gridCol w:w="3093"/>
        <w:gridCol w:w="1142"/>
        <w:gridCol w:w="1113"/>
        <w:gridCol w:w="1347"/>
      </w:tblGrid>
      <w:tr w:rsidR="006711E1" w:rsidRPr="00AB496F" w14:paraId="190583C7" w14:textId="77777777" w:rsidTr="00CE237D">
        <w:trPr>
          <w:jc w:val="center"/>
        </w:trPr>
        <w:tc>
          <w:tcPr>
            <w:tcW w:w="6695" w:type="dxa"/>
            <w:gridSpan w:val="4"/>
            <w:tcBorders>
              <w:top w:val="nil"/>
              <w:left w:val="nil"/>
              <w:bottom w:val="single" w:sz="4" w:space="0" w:color="auto"/>
              <w:right w:val="nil"/>
            </w:tcBorders>
          </w:tcPr>
          <w:p w14:paraId="5B45096C" w14:textId="77777777" w:rsidR="00D12887" w:rsidRDefault="006711E1" w:rsidP="00FB61F3">
            <w:r>
              <w:t>Table 2</w:t>
            </w:r>
            <w:r w:rsidR="00FB61F3">
              <w:t xml:space="preserve"> </w:t>
            </w:r>
          </w:p>
          <w:p w14:paraId="18B2A8E1" w14:textId="35E8ACB9" w:rsidR="006711E1" w:rsidRPr="00AB496F" w:rsidRDefault="006711E1" w:rsidP="00D12887">
            <w:pPr>
              <w:rPr>
                <w:sz w:val="18"/>
                <w:szCs w:val="18"/>
              </w:rPr>
            </w:pPr>
            <w:r>
              <w:t>Summary Statistics:</w:t>
            </w:r>
            <w:r w:rsidR="00D12887">
              <w:t xml:space="preserve"> </w:t>
            </w:r>
            <w:r w:rsidR="00FB61F3">
              <w:t xml:space="preserve">Daily </w:t>
            </w:r>
            <w:r>
              <w:t>e</w:t>
            </w:r>
            <w:r w:rsidR="004B39A4">
              <w:t>-</w:t>
            </w:r>
            <w:r>
              <w:t xml:space="preserve">Mid </w:t>
            </w:r>
            <w:r w:rsidR="00FB61F3">
              <w:t xml:space="preserve">Financial </w:t>
            </w:r>
            <w:r>
              <w:t>Variables</w:t>
            </w:r>
          </w:p>
        </w:tc>
      </w:tr>
      <w:tr w:rsidR="006711E1" w:rsidRPr="00AB496F" w14:paraId="7881B07C" w14:textId="77777777" w:rsidTr="00CE237D">
        <w:trPr>
          <w:jc w:val="center"/>
        </w:trPr>
        <w:tc>
          <w:tcPr>
            <w:tcW w:w="3093" w:type="dxa"/>
            <w:tcBorders>
              <w:top w:val="single" w:sz="4" w:space="0" w:color="auto"/>
              <w:bottom w:val="nil"/>
            </w:tcBorders>
          </w:tcPr>
          <w:p w14:paraId="039D1A13" w14:textId="77777777" w:rsidR="006711E1" w:rsidRPr="0055420F" w:rsidRDefault="006711E1" w:rsidP="009F2C15">
            <w:pPr>
              <w:rPr>
                <w:sz w:val="20"/>
                <w:szCs w:val="20"/>
              </w:rPr>
            </w:pPr>
          </w:p>
        </w:tc>
        <w:tc>
          <w:tcPr>
            <w:tcW w:w="3602" w:type="dxa"/>
            <w:gridSpan w:val="3"/>
            <w:tcBorders>
              <w:top w:val="single" w:sz="4" w:space="0" w:color="auto"/>
              <w:bottom w:val="nil"/>
            </w:tcBorders>
          </w:tcPr>
          <w:p w14:paraId="3CFE07E5" w14:textId="77777777" w:rsidR="006711E1" w:rsidRPr="0055420F" w:rsidRDefault="006711E1" w:rsidP="009F2C15">
            <w:pPr>
              <w:jc w:val="center"/>
              <w:rPr>
                <w:sz w:val="20"/>
                <w:szCs w:val="20"/>
              </w:rPr>
            </w:pPr>
            <w:r w:rsidRPr="0055420F">
              <w:rPr>
                <w:sz w:val="20"/>
                <w:szCs w:val="20"/>
              </w:rPr>
              <w:t>Pre-crisis: 2-Jan-06 - 8-Aug-07</w:t>
            </w:r>
          </w:p>
        </w:tc>
      </w:tr>
      <w:tr w:rsidR="006711E1" w:rsidRPr="00AB496F" w14:paraId="0300036A" w14:textId="77777777" w:rsidTr="00CE237D">
        <w:trPr>
          <w:jc w:val="center"/>
        </w:trPr>
        <w:tc>
          <w:tcPr>
            <w:tcW w:w="3093" w:type="dxa"/>
            <w:tcBorders>
              <w:top w:val="nil"/>
              <w:bottom w:val="nil"/>
            </w:tcBorders>
          </w:tcPr>
          <w:p w14:paraId="225C6C26" w14:textId="77777777" w:rsidR="006711E1" w:rsidRPr="0055420F" w:rsidRDefault="006711E1" w:rsidP="009F2C15">
            <w:pPr>
              <w:rPr>
                <w:sz w:val="20"/>
                <w:szCs w:val="20"/>
              </w:rPr>
            </w:pPr>
          </w:p>
        </w:tc>
        <w:tc>
          <w:tcPr>
            <w:tcW w:w="1142" w:type="dxa"/>
            <w:tcBorders>
              <w:top w:val="nil"/>
              <w:bottom w:val="nil"/>
              <w:right w:val="nil"/>
            </w:tcBorders>
            <w:vAlign w:val="bottom"/>
          </w:tcPr>
          <w:p w14:paraId="4EADC53F" w14:textId="77777777" w:rsidR="006711E1" w:rsidRPr="0055420F" w:rsidRDefault="006711E1" w:rsidP="009F2C15">
            <w:pPr>
              <w:jc w:val="center"/>
              <w:rPr>
                <w:rFonts w:cs="Calibri"/>
                <w:color w:val="000000"/>
                <w:sz w:val="20"/>
                <w:szCs w:val="20"/>
              </w:rPr>
            </w:pPr>
            <w:r w:rsidRPr="0055420F">
              <w:rPr>
                <w:rFonts w:cs="Calibri"/>
                <w:color w:val="000000"/>
                <w:sz w:val="20"/>
                <w:szCs w:val="20"/>
              </w:rPr>
              <w:t>Mean</w:t>
            </w:r>
          </w:p>
        </w:tc>
        <w:tc>
          <w:tcPr>
            <w:tcW w:w="1113" w:type="dxa"/>
            <w:tcBorders>
              <w:top w:val="nil"/>
              <w:left w:val="nil"/>
              <w:bottom w:val="nil"/>
              <w:right w:val="nil"/>
            </w:tcBorders>
            <w:vAlign w:val="bottom"/>
          </w:tcPr>
          <w:p w14:paraId="7B74DAC0" w14:textId="77777777" w:rsidR="006711E1" w:rsidRPr="0055420F" w:rsidRDefault="006711E1" w:rsidP="009F2C15">
            <w:pPr>
              <w:jc w:val="center"/>
              <w:rPr>
                <w:rFonts w:cs="Calibri"/>
                <w:color w:val="000000"/>
                <w:sz w:val="20"/>
                <w:szCs w:val="20"/>
              </w:rPr>
            </w:pPr>
            <w:r w:rsidRPr="0055420F">
              <w:rPr>
                <w:rFonts w:cs="Calibri"/>
                <w:color w:val="000000"/>
                <w:sz w:val="20"/>
                <w:szCs w:val="20"/>
              </w:rPr>
              <w:t>Median</w:t>
            </w:r>
          </w:p>
        </w:tc>
        <w:tc>
          <w:tcPr>
            <w:tcW w:w="1347" w:type="dxa"/>
            <w:tcBorders>
              <w:top w:val="nil"/>
              <w:left w:val="nil"/>
              <w:bottom w:val="nil"/>
            </w:tcBorders>
            <w:vAlign w:val="bottom"/>
          </w:tcPr>
          <w:p w14:paraId="4CF8E1EC" w14:textId="77777777" w:rsidR="006711E1" w:rsidRPr="0055420F" w:rsidRDefault="006711E1" w:rsidP="009F2C15">
            <w:pPr>
              <w:jc w:val="center"/>
              <w:rPr>
                <w:rFonts w:cs="Calibri"/>
                <w:color w:val="000000"/>
                <w:sz w:val="20"/>
                <w:szCs w:val="20"/>
              </w:rPr>
            </w:pPr>
            <w:r w:rsidRPr="0055420F">
              <w:rPr>
                <w:rFonts w:cs="Calibri"/>
                <w:color w:val="000000"/>
                <w:sz w:val="20"/>
                <w:szCs w:val="20"/>
              </w:rPr>
              <w:t>St. Dev.</w:t>
            </w:r>
          </w:p>
        </w:tc>
      </w:tr>
      <w:tr w:rsidR="006711E1" w:rsidRPr="00AB496F" w14:paraId="68601100" w14:textId="77777777" w:rsidTr="00CE237D">
        <w:trPr>
          <w:jc w:val="center"/>
        </w:trPr>
        <w:tc>
          <w:tcPr>
            <w:tcW w:w="3093" w:type="dxa"/>
            <w:tcBorders>
              <w:top w:val="nil"/>
              <w:bottom w:val="nil"/>
            </w:tcBorders>
          </w:tcPr>
          <w:p w14:paraId="328FA378" w14:textId="77777777" w:rsidR="006711E1" w:rsidRPr="0055420F" w:rsidRDefault="006711E1" w:rsidP="009F2C15">
            <w:pPr>
              <w:rPr>
                <w:sz w:val="20"/>
                <w:szCs w:val="20"/>
              </w:rPr>
            </w:pPr>
          </w:p>
        </w:tc>
        <w:tc>
          <w:tcPr>
            <w:tcW w:w="1142" w:type="dxa"/>
            <w:tcBorders>
              <w:top w:val="nil"/>
              <w:bottom w:val="nil"/>
              <w:right w:val="nil"/>
            </w:tcBorders>
            <w:vAlign w:val="bottom"/>
          </w:tcPr>
          <w:p w14:paraId="4B7F01A5" w14:textId="77777777" w:rsidR="006711E1" w:rsidRPr="0055420F" w:rsidRDefault="006711E1" w:rsidP="009F2C15">
            <w:pPr>
              <w:jc w:val="center"/>
              <w:rPr>
                <w:rFonts w:cs="Calibri"/>
                <w:color w:val="000000"/>
                <w:sz w:val="20"/>
                <w:szCs w:val="20"/>
              </w:rPr>
            </w:pPr>
          </w:p>
        </w:tc>
        <w:tc>
          <w:tcPr>
            <w:tcW w:w="1113" w:type="dxa"/>
            <w:tcBorders>
              <w:top w:val="nil"/>
              <w:left w:val="nil"/>
              <w:bottom w:val="nil"/>
              <w:right w:val="nil"/>
            </w:tcBorders>
            <w:vAlign w:val="bottom"/>
          </w:tcPr>
          <w:p w14:paraId="626EF99F" w14:textId="77777777" w:rsidR="006711E1" w:rsidRPr="0055420F" w:rsidRDefault="006711E1" w:rsidP="009F2C15">
            <w:pPr>
              <w:jc w:val="center"/>
              <w:rPr>
                <w:rFonts w:cs="Calibri"/>
                <w:color w:val="000000"/>
                <w:sz w:val="20"/>
                <w:szCs w:val="20"/>
              </w:rPr>
            </w:pPr>
          </w:p>
        </w:tc>
        <w:tc>
          <w:tcPr>
            <w:tcW w:w="1347" w:type="dxa"/>
            <w:tcBorders>
              <w:top w:val="nil"/>
              <w:left w:val="nil"/>
              <w:bottom w:val="nil"/>
            </w:tcBorders>
            <w:vAlign w:val="bottom"/>
          </w:tcPr>
          <w:p w14:paraId="566B2B11" w14:textId="77777777" w:rsidR="006711E1" w:rsidRPr="0055420F" w:rsidRDefault="006711E1" w:rsidP="009F2C15">
            <w:pPr>
              <w:jc w:val="center"/>
              <w:rPr>
                <w:rFonts w:cs="Calibri"/>
                <w:color w:val="000000"/>
                <w:sz w:val="20"/>
                <w:szCs w:val="20"/>
              </w:rPr>
            </w:pPr>
          </w:p>
        </w:tc>
      </w:tr>
      <w:tr w:rsidR="006711E1" w:rsidRPr="00AB496F" w14:paraId="2E915ABD" w14:textId="77777777" w:rsidTr="00CE237D">
        <w:trPr>
          <w:jc w:val="center"/>
        </w:trPr>
        <w:tc>
          <w:tcPr>
            <w:tcW w:w="3093" w:type="dxa"/>
            <w:tcBorders>
              <w:top w:val="nil"/>
              <w:bottom w:val="nil"/>
            </w:tcBorders>
            <w:vAlign w:val="bottom"/>
          </w:tcPr>
          <w:p w14:paraId="4879276F" w14:textId="77777777" w:rsidR="006711E1" w:rsidRPr="0055420F" w:rsidRDefault="006711E1" w:rsidP="009F2C15">
            <w:pPr>
              <w:rPr>
                <w:rFonts w:cs="Calibri"/>
                <w:color w:val="000000"/>
                <w:sz w:val="20"/>
                <w:szCs w:val="20"/>
              </w:rPr>
            </w:pPr>
            <w:r w:rsidRPr="0055420F">
              <w:rPr>
                <w:rFonts w:cs="Calibri"/>
                <w:color w:val="000000"/>
                <w:sz w:val="20"/>
                <w:szCs w:val="20"/>
              </w:rPr>
              <w:t>∆(Price)</w:t>
            </w:r>
          </w:p>
        </w:tc>
        <w:tc>
          <w:tcPr>
            <w:tcW w:w="1142" w:type="dxa"/>
            <w:tcBorders>
              <w:top w:val="nil"/>
              <w:bottom w:val="nil"/>
              <w:right w:val="nil"/>
            </w:tcBorders>
            <w:vAlign w:val="bottom"/>
          </w:tcPr>
          <w:p w14:paraId="6AEA9F85" w14:textId="77777777" w:rsidR="006711E1" w:rsidRPr="0055420F" w:rsidRDefault="006711E1" w:rsidP="009F2C15">
            <w:pPr>
              <w:jc w:val="center"/>
              <w:rPr>
                <w:rFonts w:cs="Calibri"/>
                <w:color w:val="000000"/>
                <w:sz w:val="20"/>
                <w:szCs w:val="20"/>
              </w:rPr>
            </w:pPr>
            <w:r w:rsidRPr="0055420F">
              <w:rPr>
                <w:rFonts w:cs="Calibri"/>
                <w:color w:val="000000"/>
                <w:sz w:val="20"/>
                <w:szCs w:val="20"/>
              </w:rPr>
              <w:t>-0.0232</w:t>
            </w:r>
          </w:p>
        </w:tc>
        <w:tc>
          <w:tcPr>
            <w:tcW w:w="1113" w:type="dxa"/>
            <w:tcBorders>
              <w:top w:val="nil"/>
              <w:left w:val="nil"/>
              <w:bottom w:val="nil"/>
              <w:right w:val="nil"/>
            </w:tcBorders>
            <w:vAlign w:val="bottom"/>
          </w:tcPr>
          <w:p w14:paraId="45F6951F" w14:textId="77777777" w:rsidR="006711E1" w:rsidRPr="0055420F" w:rsidRDefault="006711E1" w:rsidP="009F2C15">
            <w:pPr>
              <w:jc w:val="center"/>
              <w:rPr>
                <w:rFonts w:cs="Calibri"/>
                <w:color w:val="000000"/>
                <w:sz w:val="20"/>
                <w:szCs w:val="20"/>
              </w:rPr>
            </w:pPr>
            <w:r w:rsidRPr="0055420F">
              <w:rPr>
                <w:rFonts w:cs="Calibri"/>
                <w:color w:val="000000"/>
                <w:sz w:val="20"/>
                <w:szCs w:val="20"/>
              </w:rPr>
              <w:t>-0.0150</w:t>
            </w:r>
          </w:p>
        </w:tc>
        <w:tc>
          <w:tcPr>
            <w:tcW w:w="1347" w:type="dxa"/>
            <w:tcBorders>
              <w:top w:val="nil"/>
              <w:left w:val="nil"/>
              <w:bottom w:val="nil"/>
            </w:tcBorders>
            <w:vAlign w:val="bottom"/>
          </w:tcPr>
          <w:p w14:paraId="1FC39E01" w14:textId="77777777" w:rsidR="006711E1" w:rsidRPr="0055420F" w:rsidRDefault="006711E1" w:rsidP="009F2C15">
            <w:pPr>
              <w:jc w:val="center"/>
              <w:rPr>
                <w:rFonts w:cs="Calibri"/>
                <w:color w:val="000000"/>
                <w:sz w:val="20"/>
                <w:szCs w:val="20"/>
              </w:rPr>
            </w:pPr>
            <w:r w:rsidRPr="0055420F">
              <w:rPr>
                <w:rFonts w:cs="Calibri"/>
                <w:color w:val="000000"/>
                <w:sz w:val="20"/>
                <w:szCs w:val="20"/>
              </w:rPr>
              <w:t>0.0871</w:t>
            </w:r>
          </w:p>
        </w:tc>
      </w:tr>
      <w:tr w:rsidR="006711E1" w:rsidRPr="00AB496F" w14:paraId="273FC676" w14:textId="77777777" w:rsidTr="00CE237D">
        <w:trPr>
          <w:jc w:val="center"/>
        </w:trPr>
        <w:tc>
          <w:tcPr>
            <w:tcW w:w="3093" w:type="dxa"/>
            <w:tcBorders>
              <w:top w:val="nil"/>
              <w:bottom w:val="nil"/>
            </w:tcBorders>
            <w:vAlign w:val="bottom"/>
          </w:tcPr>
          <w:p w14:paraId="1952DE5A" w14:textId="77777777" w:rsidR="006711E1" w:rsidRPr="0055420F" w:rsidRDefault="006711E1" w:rsidP="009F2C15">
            <w:pPr>
              <w:rPr>
                <w:rFonts w:cs="Calibri"/>
                <w:color w:val="000000"/>
                <w:sz w:val="20"/>
                <w:szCs w:val="20"/>
              </w:rPr>
            </w:pPr>
            <w:r w:rsidRPr="0055420F">
              <w:rPr>
                <w:rFonts w:cs="Calibri"/>
                <w:color w:val="000000"/>
                <w:sz w:val="20"/>
                <w:szCs w:val="20"/>
              </w:rPr>
              <w:t>Effective Spread</w:t>
            </w:r>
          </w:p>
        </w:tc>
        <w:tc>
          <w:tcPr>
            <w:tcW w:w="1142" w:type="dxa"/>
            <w:tcBorders>
              <w:top w:val="nil"/>
              <w:bottom w:val="nil"/>
              <w:right w:val="nil"/>
            </w:tcBorders>
            <w:vAlign w:val="bottom"/>
          </w:tcPr>
          <w:p w14:paraId="1B28E66F" w14:textId="77777777" w:rsidR="006711E1" w:rsidRPr="0055420F" w:rsidRDefault="006711E1" w:rsidP="009F2C15">
            <w:pPr>
              <w:jc w:val="center"/>
              <w:rPr>
                <w:rFonts w:cs="Calibri"/>
                <w:color w:val="000000"/>
                <w:sz w:val="20"/>
                <w:szCs w:val="20"/>
              </w:rPr>
            </w:pPr>
            <w:r w:rsidRPr="0055420F">
              <w:rPr>
                <w:rFonts w:cs="Calibri"/>
                <w:color w:val="000000"/>
                <w:sz w:val="20"/>
                <w:szCs w:val="20"/>
              </w:rPr>
              <w:t>1.3782</w:t>
            </w:r>
          </w:p>
        </w:tc>
        <w:tc>
          <w:tcPr>
            <w:tcW w:w="1113" w:type="dxa"/>
            <w:tcBorders>
              <w:top w:val="nil"/>
              <w:left w:val="nil"/>
              <w:bottom w:val="nil"/>
              <w:right w:val="nil"/>
            </w:tcBorders>
            <w:vAlign w:val="bottom"/>
          </w:tcPr>
          <w:p w14:paraId="0B1CEB99" w14:textId="77777777" w:rsidR="006711E1" w:rsidRPr="0055420F" w:rsidRDefault="006711E1" w:rsidP="009F2C15">
            <w:pPr>
              <w:jc w:val="center"/>
              <w:rPr>
                <w:rFonts w:cs="Calibri"/>
                <w:color w:val="000000"/>
                <w:sz w:val="20"/>
                <w:szCs w:val="20"/>
              </w:rPr>
            </w:pPr>
            <w:r w:rsidRPr="0055420F">
              <w:rPr>
                <w:rFonts w:cs="Calibri"/>
                <w:color w:val="000000"/>
                <w:sz w:val="20"/>
                <w:szCs w:val="20"/>
              </w:rPr>
              <w:t>1.3888</w:t>
            </w:r>
          </w:p>
        </w:tc>
        <w:tc>
          <w:tcPr>
            <w:tcW w:w="1347" w:type="dxa"/>
            <w:tcBorders>
              <w:top w:val="nil"/>
              <w:left w:val="nil"/>
              <w:bottom w:val="nil"/>
            </w:tcBorders>
            <w:vAlign w:val="bottom"/>
          </w:tcPr>
          <w:p w14:paraId="6F86F3B1" w14:textId="77777777" w:rsidR="006711E1" w:rsidRPr="0055420F" w:rsidRDefault="006711E1" w:rsidP="009F2C15">
            <w:pPr>
              <w:jc w:val="center"/>
              <w:rPr>
                <w:rFonts w:cs="Calibri"/>
                <w:color w:val="000000"/>
                <w:sz w:val="20"/>
                <w:szCs w:val="20"/>
              </w:rPr>
            </w:pPr>
            <w:r w:rsidRPr="0055420F">
              <w:rPr>
                <w:rFonts w:cs="Calibri"/>
                <w:color w:val="000000"/>
                <w:sz w:val="20"/>
                <w:szCs w:val="20"/>
              </w:rPr>
              <w:t>0.0988</w:t>
            </w:r>
          </w:p>
        </w:tc>
      </w:tr>
      <w:tr w:rsidR="006711E1" w:rsidRPr="00AB496F" w14:paraId="6E1A3797" w14:textId="77777777" w:rsidTr="00CE237D">
        <w:trPr>
          <w:jc w:val="center"/>
        </w:trPr>
        <w:tc>
          <w:tcPr>
            <w:tcW w:w="3093" w:type="dxa"/>
            <w:tcBorders>
              <w:top w:val="nil"/>
              <w:bottom w:val="nil"/>
            </w:tcBorders>
            <w:vAlign w:val="bottom"/>
          </w:tcPr>
          <w:p w14:paraId="54AD6BC4" w14:textId="77777777" w:rsidR="006711E1" w:rsidRPr="0055420F" w:rsidRDefault="006711E1" w:rsidP="009F2C15">
            <w:pPr>
              <w:rPr>
                <w:rFonts w:cs="Calibri"/>
                <w:color w:val="000000"/>
                <w:sz w:val="20"/>
                <w:szCs w:val="20"/>
              </w:rPr>
            </w:pPr>
            <w:r w:rsidRPr="0055420F">
              <w:rPr>
                <w:rFonts w:cs="Calibri"/>
                <w:color w:val="000000"/>
                <w:sz w:val="20"/>
                <w:szCs w:val="20"/>
              </w:rPr>
              <w:t>Volume</w:t>
            </w:r>
          </w:p>
        </w:tc>
        <w:tc>
          <w:tcPr>
            <w:tcW w:w="1142" w:type="dxa"/>
            <w:tcBorders>
              <w:top w:val="nil"/>
              <w:bottom w:val="nil"/>
              <w:right w:val="nil"/>
            </w:tcBorders>
            <w:vAlign w:val="bottom"/>
          </w:tcPr>
          <w:p w14:paraId="1C0C224F" w14:textId="77777777" w:rsidR="006711E1" w:rsidRPr="0055420F" w:rsidRDefault="006711E1" w:rsidP="009F2C15">
            <w:pPr>
              <w:jc w:val="center"/>
              <w:rPr>
                <w:rFonts w:cs="Calibri"/>
                <w:color w:val="000000"/>
                <w:sz w:val="20"/>
                <w:szCs w:val="20"/>
              </w:rPr>
            </w:pPr>
            <w:r w:rsidRPr="0055420F">
              <w:rPr>
                <w:rFonts w:cs="Calibri"/>
                <w:color w:val="000000"/>
                <w:sz w:val="20"/>
                <w:szCs w:val="20"/>
              </w:rPr>
              <w:t>22,834</w:t>
            </w:r>
          </w:p>
        </w:tc>
        <w:tc>
          <w:tcPr>
            <w:tcW w:w="1113" w:type="dxa"/>
            <w:tcBorders>
              <w:top w:val="nil"/>
              <w:left w:val="nil"/>
              <w:bottom w:val="nil"/>
              <w:right w:val="nil"/>
            </w:tcBorders>
            <w:vAlign w:val="bottom"/>
          </w:tcPr>
          <w:p w14:paraId="188CFDF4" w14:textId="77777777" w:rsidR="006711E1" w:rsidRPr="0055420F" w:rsidRDefault="006711E1" w:rsidP="009F2C15">
            <w:pPr>
              <w:jc w:val="center"/>
              <w:rPr>
                <w:rFonts w:cs="Calibri"/>
                <w:color w:val="000000"/>
                <w:sz w:val="20"/>
                <w:szCs w:val="20"/>
              </w:rPr>
            </w:pPr>
            <w:r w:rsidRPr="0055420F">
              <w:rPr>
                <w:rFonts w:cs="Calibri"/>
                <w:color w:val="000000"/>
                <w:sz w:val="20"/>
                <w:szCs w:val="20"/>
              </w:rPr>
              <w:t>22,337</w:t>
            </w:r>
          </w:p>
        </w:tc>
        <w:tc>
          <w:tcPr>
            <w:tcW w:w="1347" w:type="dxa"/>
            <w:tcBorders>
              <w:top w:val="nil"/>
              <w:left w:val="nil"/>
              <w:bottom w:val="nil"/>
            </w:tcBorders>
            <w:vAlign w:val="bottom"/>
          </w:tcPr>
          <w:p w14:paraId="73F73787" w14:textId="77777777" w:rsidR="006711E1" w:rsidRPr="0055420F" w:rsidRDefault="006711E1" w:rsidP="009F2C15">
            <w:pPr>
              <w:jc w:val="center"/>
              <w:rPr>
                <w:rFonts w:cs="Calibri"/>
                <w:color w:val="000000"/>
                <w:sz w:val="20"/>
                <w:szCs w:val="20"/>
              </w:rPr>
            </w:pPr>
            <w:r w:rsidRPr="0055420F">
              <w:rPr>
                <w:rFonts w:cs="Calibri"/>
                <w:color w:val="000000"/>
                <w:sz w:val="20"/>
                <w:szCs w:val="20"/>
              </w:rPr>
              <w:t>4,902</w:t>
            </w:r>
          </w:p>
        </w:tc>
      </w:tr>
      <w:tr w:rsidR="006711E1" w:rsidRPr="00AB496F" w14:paraId="78ACB71B" w14:textId="77777777" w:rsidTr="00CE237D">
        <w:trPr>
          <w:jc w:val="center"/>
        </w:trPr>
        <w:tc>
          <w:tcPr>
            <w:tcW w:w="3093" w:type="dxa"/>
            <w:tcBorders>
              <w:top w:val="nil"/>
              <w:bottom w:val="nil"/>
            </w:tcBorders>
            <w:vAlign w:val="bottom"/>
          </w:tcPr>
          <w:p w14:paraId="7ED39E4D" w14:textId="77777777" w:rsidR="006711E1" w:rsidRPr="0055420F" w:rsidRDefault="006711E1" w:rsidP="009F2C15">
            <w:pPr>
              <w:rPr>
                <w:rFonts w:cs="Calibri"/>
                <w:color w:val="000000"/>
                <w:sz w:val="20"/>
                <w:szCs w:val="20"/>
              </w:rPr>
            </w:pPr>
            <w:r w:rsidRPr="0055420F">
              <w:rPr>
                <w:rFonts w:cs="Calibri"/>
                <w:color w:val="000000"/>
                <w:sz w:val="20"/>
                <w:szCs w:val="20"/>
              </w:rPr>
              <w:t>Trade Imbalance</w:t>
            </w:r>
          </w:p>
        </w:tc>
        <w:tc>
          <w:tcPr>
            <w:tcW w:w="1142" w:type="dxa"/>
            <w:tcBorders>
              <w:top w:val="nil"/>
              <w:bottom w:val="nil"/>
              <w:right w:val="nil"/>
            </w:tcBorders>
            <w:vAlign w:val="bottom"/>
          </w:tcPr>
          <w:p w14:paraId="176CF952" w14:textId="77777777" w:rsidR="006711E1" w:rsidRPr="0055420F" w:rsidRDefault="006711E1" w:rsidP="009F2C15">
            <w:pPr>
              <w:jc w:val="center"/>
              <w:rPr>
                <w:rFonts w:cs="Calibri"/>
                <w:color w:val="000000"/>
                <w:sz w:val="20"/>
                <w:szCs w:val="20"/>
              </w:rPr>
            </w:pPr>
            <w:r w:rsidRPr="0055420F">
              <w:rPr>
                <w:rFonts w:cs="Calibri"/>
                <w:color w:val="000000"/>
                <w:sz w:val="20"/>
                <w:szCs w:val="20"/>
              </w:rPr>
              <w:t>0.0049</w:t>
            </w:r>
          </w:p>
        </w:tc>
        <w:tc>
          <w:tcPr>
            <w:tcW w:w="1113" w:type="dxa"/>
            <w:tcBorders>
              <w:top w:val="nil"/>
              <w:left w:val="nil"/>
              <w:bottom w:val="nil"/>
              <w:right w:val="nil"/>
            </w:tcBorders>
            <w:vAlign w:val="bottom"/>
          </w:tcPr>
          <w:p w14:paraId="4AA57051" w14:textId="77777777" w:rsidR="006711E1" w:rsidRPr="0055420F" w:rsidRDefault="006711E1" w:rsidP="009F2C15">
            <w:pPr>
              <w:jc w:val="center"/>
              <w:rPr>
                <w:rFonts w:cs="Calibri"/>
                <w:color w:val="000000"/>
                <w:sz w:val="20"/>
                <w:szCs w:val="20"/>
              </w:rPr>
            </w:pPr>
            <w:r w:rsidRPr="0055420F">
              <w:rPr>
                <w:rFonts w:cs="Calibri"/>
                <w:color w:val="000000"/>
                <w:sz w:val="20"/>
                <w:szCs w:val="20"/>
              </w:rPr>
              <w:t>0.0046</w:t>
            </w:r>
          </w:p>
        </w:tc>
        <w:tc>
          <w:tcPr>
            <w:tcW w:w="1347" w:type="dxa"/>
            <w:tcBorders>
              <w:top w:val="nil"/>
              <w:left w:val="nil"/>
              <w:bottom w:val="nil"/>
            </w:tcBorders>
            <w:vAlign w:val="bottom"/>
          </w:tcPr>
          <w:p w14:paraId="47D2AFBD" w14:textId="77777777" w:rsidR="006711E1" w:rsidRPr="0055420F" w:rsidRDefault="006711E1" w:rsidP="009F2C15">
            <w:pPr>
              <w:jc w:val="center"/>
              <w:rPr>
                <w:rFonts w:cs="Calibri"/>
                <w:color w:val="000000"/>
                <w:sz w:val="20"/>
                <w:szCs w:val="20"/>
              </w:rPr>
            </w:pPr>
            <w:r w:rsidRPr="0055420F">
              <w:rPr>
                <w:rFonts w:cs="Calibri"/>
                <w:color w:val="000000"/>
                <w:sz w:val="20"/>
                <w:szCs w:val="20"/>
              </w:rPr>
              <w:t>0.0018</w:t>
            </w:r>
          </w:p>
        </w:tc>
      </w:tr>
      <w:tr w:rsidR="006711E1" w:rsidRPr="00AB496F" w14:paraId="74C69963" w14:textId="77777777" w:rsidTr="00CE237D">
        <w:trPr>
          <w:jc w:val="center"/>
        </w:trPr>
        <w:tc>
          <w:tcPr>
            <w:tcW w:w="3093" w:type="dxa"/>
            <w:tcBorders>
              <w:top w:val="nil"/>
              <w:bottom w:val="nil"/>
            </w:tcBorders>
            <w:vAlign w:val="bottom"/>
          </w:tcPr>
          <w:p w14:paraId="14F971A9" w14:textId="77777777" w:rsidR="006711E1" w:rsidRPr="0055420F" w:rsidRDefault="006711E1" w:rsidP="009F2C15">
            <w:pPr>
              <w:rPr>
                <w:rFonts w:cs="Calibri"/>
                <w:color w:val="000000"/>
                <w:sz w:val="20"/>
                <w:szCs w:val="20"/>
              </w:rPr>
            </w:pPr>
            <w:r w:rsidRPr="0055420F">
              <w:rPr>
                <w:rFonts w:cs="Calibri"/>
                <w:color w:val="000000"/>
                <w:sz w:val="20"/>
                <w:szCs w:val="20"/>
              </w:rPr>
              <w:t>Herfindahl Index</w:t>
            </w:r>
          </w:p>
        </w:tc>
        <w:tc>
          <w:tcPr>
            <w:tcW w:w="1142" w:type="dxa"/>
            <w:tcBorders>
              <w:top w:val="nil"/>
              <w:bottom w:val="nil"/>
              <w:right w:val="nil"/>
            </w:tcBorders>
            <w:vAlign w:val="bottom"/>
          </w:tcPr>
          <w:p w14:paraId="408A14C5" w14:textId="77777777" w:rsidR="006711E1" w:rsidRPr="0055420F" w:rsidRDefault="006711E1" w:rsidP="009F2C15">
            <w:pPr>
              <w:jc w:val="center"/>
              <w:rPr>
                <w:rFonts w:cs="Calibri"/>
                <w:color w:val="000000"/>
                <w:sz w:val="20"/>
                <w:szCs w:val="20"/>
              </w:rPr>
            </w:pPr>
            <w:r w:rsidRPr="0055420F">
              <w:rPr>
                <w:rFonts w:cs="Calibri"/>
                <w:color w:val="000000"/>
                <w:sz w:val="20"/>
                <w:szCs w:val="20"/>
              </w:rPr>
              <w:t>0.0159</w:t>
            </w:r>
          </w:p>
        </w:tc>
        <w:tc>
          <w:tcPr>
            <w:tcW w:w="1113" w:type="dxa"/>
            <w:tcBorders>
              <w:top w:val="nil"/>
              <w:left w:val="nil"/>
              <w:bottom w:val="nil"/>
              <w:right w:val="nil"/>
            </w:tcBorders>
            <w:vAlign w:val="bottom"/>
          </w:tcPr>
          <w:p w14:paraId="0C4BA223" w14:textId="77777777" w:rsidR="006711E1" w:rsidRPr="0055420F" w:rsidRDefault="006711E1" w:rsidP="009F2C15">
            <w:pPr>
              <w:jc w:val="center"/>
              <w:rPr>
                <w:rFonts w:cs="Calibri"/>
                <w:color w:val="000000"/>
                <w:sz w:val="20"/>
                <w:szCs w:val="20"/>
              </w:rPr>
            </w:pPr>
            <w:r w:rsidRPr="0055420F">
              <w:rPr>
                <w:rFonts w:cs="Calibri"/>
                <w:color w:val="000000"/>
                <w:sz w:val="20"/>
                <w:szCs w:val="20"/>
              </w:rPr>
              <w:t>0.0157</w:t>
            </w:r>
          </w:p>
        </w:tc>
        <w:tc>
          <w:tcPr>
            <w:tcW w:w="1347" w:type="dxa"/>
            <w:tcBorders>
              <w:top w:val="nil"/>
              <w:left w:val="nil"/>
              <w:bottom w:val="nil"/>
            </w:tcBorders>
            <w:vAlign w:val="bottom"/>
          </w:tcPr>
          <w:p w14:paraId="4C97C0A7" w14:textId="77777777" w:rsidR="006711E1" w:rsidRPr="0055420F" w:rsidRDefault="006711E1" w:rsidP="009F2C15">
            <w:pPr>
              <w:jc w:val="center"/>
              <w:rPr>
                <w:rFonts w:cs="Calibri"/>
                <w:color w:val="000000"/>
                <w:sz w:val="20"/>
                <w:szCs w:val="20"/>
              </w:rPr>
            </w:pPr>
            <w:r w:rsidRPr="0055420F">
              <w:rPr>
                <w:rFonts w:cs="Calibri"/>
                <w:color w:val="000000"/>
                <w:sz w:val="20"/>
                <w:szCs w:val="20"/>
              </w:rPr>
              <w:t>0.0014</w:t>
            </w:r>
          </w:p>
        </w:tc>
      </w:tr>
      <w:tr w:rsidR="006711E1" w:rsidRPr="00AB496F" w14:paraId="1A459DE2" w14:textId="77777777" w:rsidTr="00CE237D">
        <w:trPr>
          <w:jc w:val="center"/>
        </w:trPr>
        <w:tc>
          <w:tcPr>
            <w:tcW w:w="3093" w:type="dxa"/>
            <w:tcBorders>
              <w:top w:val="nil"/>
              <w:bottom w:val="nil"/>
            </w:tcBorders>
            <w:vAlign w:val="bottom"/>
          </w:tcPr>
          <w:p w14:paraId="01F75930" w14:textId="77777777" w:rsidR="006711E1" w:rsidRPr="0055420F" w:rsidRDefault="006711E1" w:rsidP="009F2C15">
            <w:pPr>
              <w:rPr>
                <w:rFonts w:cs="Calibri"/>
                <w:color w:val="000000"/>
                <w:sz w:val="20"/>
                <w:szCs w:val="20"/>
              </w:rPr>
            </w:pPr>
            <w:r w:rsidRPr="0055420F">
              <w:rPr>
                <w:rFonts w:cs="Calibri"/>
                <w:color w:val="000000"/>
                <w:sz w:val="20"/>
                <w:szCs w:val="20"/>
              </w:rPr>
              <w:t>Signed Volume</w:t>
            </w:r>
          </w:p>
        </w:tc>
        <w:tc>
          <w:tcPr>
            <w:tcW w:w="1142" w:type="dxa"/>
            <w:tcBorders>
              <w:top w:val="nil"/>
              <w:bottom w:val="nil"/>
              <w:right w:val="nil"/>
            </w:tcBorders>
            <w:vAlign w:val="bottom"/>
          </w:tcPr>
          <w:p w14:paraId="09254169" w14:textId="77777777" w:rsidR="006711E1" w:rsidRPr="0055420F" w:rsidRDefault="006711E1" w:rsidP="009F2C15">
            <w:pPr>
              <w:jc w:val="center"/>
              <w:rPr>
                <w:rFonts w:cs="Calibri"/>
                <w:color w:val="000000"/>
                <w:sz w:val="20"/>
                <w:szCs w:val="20"/>
              </w:rPr>
            </w:pPr>
            <w:r w:rsidRPr="0055420F">
              <w:rPr>
                <w:rFonts w:cs="Calibri"/>
                <w:color w:val="000000"/>
                <w:sz w:val="20"/>
                <w:szCs w:val="20"/>
              </w:rPr>
              <w:t>-13,154</w:t>
            </w:r>
          </w:p>
        </w:tc>
        <w:tc>
          <w:tcPr>
            <w:tcW w:w="1113" w:type="dxa"/>
            <w:tcBorders>
              <w:top w:val="nil"/>
              <w:left w:val="nil"/>
              <w:bottom w:val="nil"/>
              <w:right w:val="nil"/>
            </w:tcBorders>
            <w:vAlign w:val="bottom"/>
          </w:tcPr>
          <w:p w14:paraId="754B0ABF" w14:textId="77777777" w:rsidR="006711E1" w:rsidRPr="0055420F" w:rsidRDefault="006711E1" w:rsidP="009F2C15">
            <w:pPr>
              <w:jc w:val="center"/>
              <w:rPr>
                <w:rFonts w:cs="Calibri"/>
                <w:color w:val="000000"/>
                <w:sz w:val="20"/>
                <w:szCs w:val="20"/>
              </w:rPr>
            </w:pPr>
            <w:r w:rsidRPr="0055420F">
              <w:rPr>
                <w:rFonts w:cs="Calibri"/>
                <w:color w:val="000000"/>
                <w:sz w:val="20"/>
                <w:szCs w:val="20"/>
              </w:rPr>
              <w:t>-12,715</w:t>
            </w:r>
          </w:p>
        </w:tc>
        <w:tc>
          <w:tcPr>
            <w:tcW w:w="1347" w:type="dxa"/>
            <w:tcBorders>
              <w:top w:val="nil"/>
              <w:left w:val="nil"/>
              <w:bottom w:val="nil"/>
            </w:tcBorders>
            <w:vAlign w:val="bottom"/>
          </w:tcPr>
          <w:p w14:paraId="5AE83BA9" w14:textId="77777777" w:rsidR="006711E1" w:rsidRPr="0055420F" w:rsidRDefault="006711E1" w:rsidP="009F2C15">
            <w:pPr>
              <w:jc w:val="center"/>
              <w:rPr>
                <w:rFonts w:cs="Calibri"/>
                <w:color w:val="000000"/>
                <w:sz w:val="20"/>
                <w:szCs w:val="20"/>
              </w:rPr>
            </w:pPr>
            <w:r w:rsidRPr="0055420F">
              <w:rPr>
                <w:rFonts w:cs="Calibri"/>
                <w:color w:val="000000"/>
                <w:sz w:val="20"/>
                <w:szCs w:val="20"/>
              </w:rPr>
              <w:t>5,631</w:t>
            </w:r>
          </w:p>
        </w:tc>
      </w:tr>
      <w:tr w:rsidR="006711E1" w:rsidRPr="00AB496F" w14:paraId="6261D262" w14:textId="77777777" w:rsidTr="00CE237D">
        <w:trPr>
          <w:jc w:val="center"/>
        </w:trPr>
        <w:tc>
          <w:tcPr>
            <w:tcW w:w="3093" w:type="dxa"/>
            <w:tcBorders>
              <w:top w:val="nil"/>
              <w:bottom w:val="single" w:sz="4" w:space="0" w:color="auto"/>
            </w:tcBorders>
            <w:vAlign w:val="bottom"/>
          </w:tcPr>
          <w:p w14:paraId="7BC6B89F" w14:textId="77777777" w:rsidR="006711E1" w:rsidRPr="0055420F" w:rsidRDefault="006711E1" w:rsidP="009F2C15">
            <w:pPr>
              <w:rPr>
                <w:rFonts w:cs="Calibri"/>
                <w:color w:val="000000"/>
                <w:sz w:val="20"/>
                <w:szCs w:val="20"/>
              </w:rPr>
            </w:pPr>
          </w:p>
        </w:tc>
        <w:tc>
          <w:tcPr>
            <w:tcW w:w="1142" w:type="dxa"/>
            <w:tcBorders>
              <w:top w:val="nil"/>
              <w:bottom w:val="single" w:sz="4" w:space="0" w:color="auto"/>
              <w:right w:val="nil"/>
            </w:tcBorders>
            <w:vAlign w:val="bottom"/>
          </w:tcPr>
          <w:p w14:paraId="11A59D95" w14:textId="77777777" w:rsidR="006711E1" w:rsidRPr="0055420F" w:rsidRDefault="006711E1" w:rsidP="009F2C15">
            <w:pPr>
              <w:jc w:val="center"/>
              <w:rPr>
                <w:rFonts w:cs="Calibri"/>
                <w:color w:val="000000"/>
                <w:sz w:val="20"/>
                <w:szCs w:val="20"/>
              </w:rPr>
            </w:pPr>
          </w:p>
        </w:tc>
        <w:tc>
          <w:tcPr>
            <w:tcW w:w="1113" w:type="dxa"/>
            <w:tcBorders>
              <w:top w:val="nil"/>
              <w:left w:val="nil"/>
              <w:bottom w:val="single" w:sz="4" w:space="0" w:color="auto"/>
              <w:right w:val="nil"/>
            </w:tcBorders>
            <w:vAlign w:val="bottom"/>
          </w:tcPr>
          <w:p w14:paraId="199B0D4F" w14:textId="77777777" w:rsidR="006711E1" w:rsidRPr="0055420F" w:rsidRDefault="006711E1" w:rsidP="009F2C15">
            <w:pPr>
              <w:jc w:val="center"/>
              <w:rPr>
                <w:rFonts w:cs="Calibri"/>
                <w:color w:val="000000"/>
                <w:sz w:val="20"/>
                <w:szCs w:val="20"/>
              </w:rPr>
            </w:pPr>
          </w:p>
        </w:tc>
        <w:tc>
          <w:tcPr>
            <w:tcW w:w="1347" w:type="dxa"/>
            <w:tcBorders>
              <w:top w:val="nil"/>
              <w:left w:val="nil"/>
              <w:bottom w:val="single" w:sz="4" w:space="0" w:color="auto"/>
            </w:tcBorders>
            <w:vAlign w:val="bottom"/>
          </w:tcPr>
          <w:p w14:paraId="6C5A61AB" w14:textId="77777777" w:rsidR="006711E1" w:rsidRPr="0055420F" w:rsidRDefault="006711E1" w:rsidP="009F2C15">
            <w:pPr>
              <w:jc w:val="center"/>
              <w:rPr>
                <w:rFonts w:cs="Calibri"/>
                <w:color w:val="000000"/>
                <w:sz w:val="20"/>
                <w:szCs w:val="20"/>
              </w:rPr>
            </w:pPr>
          </w:p>
        </w:tc>
      </w:tr>
      <w:tr w:rsidR="006711E1" w:rsidRPr="00AB496F" w14:paraId="13291283" w14:textId="77777777" w:rsidTr="00CE237D">
        <w:trPr>
          <w:jc w:val="center"/>
        </w:trPr>
        <w:tc>
          <w:tcPr>
            <w:tcW w:w="3093" w:type="dxa"/>
            <w:tcBorders>
              <w:bottom w:val="nil"/>
            </w:tcBorders>
          </w:tcPr>
          <w:p w14:paraId="5DD0DDC7" w14:textId="77777777" w:rsidR="006711E1" w:rsidRPr="0055420F" w:rsidRDefault="006711E1" w:rsidP="009F2C15">
            <w:pPr>
              <w:rPr>
                <w:sz w:val="20"/>
                <w:szCs w:val="20"/>
              </w:rPr>
            </w:pPr>
          </w:p>
        </w:tc>
        <w:tc>
          <w:tcPr>
            <w:tcW w:w="3602" w:type="dxa"/>
            <w:gridSpan w:val="3"/>
            <w:tcBorders>
              <w:bottom w:val="nil"/>
            </w:tcBorders>
          </w:tcPr>
          <w:p w14:paraId="30D915E0" w14:textId="77777777" w:rsidR="006711E1" w:rsidRPr="0055420F" w:rsidRDefault="006711E1" w:rsidP="009F2C15">
            <w:pPr>
              <w:jc w:val="center"/>
              <w:rPr>
                <w:sz w:val="20"/>
                <w:szCs w:val="20"/>
              </w:rPr>
            </w:pPr>
            <w:r w:rsidRPr="0055420F">
              <w:rPr>
                <w:sz w:val="20"/>
                <w:szCs w:val="20"/>
              </w:rPr>
              <w:t>Crisis 1: 9-Aug-07 - 12-Sep-08</w:t>
            </w:r>
          </w:p>
        </w:tc>
      </w:tr>
      <w:tr w:rsidR="006711E1" w:rsidRPr="00AB496F" w14:paraId="45449C11" w14:textId="77777777" w:rsidTr="00CE237D">
        <w:trPr>
          <w:jc w:val="center"/>
        </w:trPr>
        <w:tc>
          <w:tcPr>
            <w:tcW w:w="3093" w:type="dxa"/>
            <w:tcBorders>
              <w:top w:val="nil"/>
              <w:bottom w:val="nil"/>
            </w:tcBorders>
            <w:vAlign w:val="bottom"/>
          </w:tcPr>
          <w:p w14:paraId="29B7E0CA" w14:textId="77777777" w:rsidR="006711E1" w:rsidRPr="0055420F" w:rsidRDefault="006711E1" w:rsidP="009F2C15">
            <w:pPr>
              <w:rPr>
                <w:rFonts w:cs="Calibri"/>
                <w:color w:val="000000"/>
                <w:sz w:val="20"/>
                <w:szCs w:val="20"/>
              </w:rPr>
            </w:pPr>
          </w:p>
        </w:tc>
        <w:tc>
          <w:tcPr>
            <w:tcW w:w="1142" w:type="dxa"/>
            <w:tcBorders>
              <w:top w:val="nil"/>
              <w:bottom w:val="nil"/>
              <w:right w:val="nil"/>
            </w:tcBorders>
            <w:vAlign w:val="bottom"/>
          </w:tcPr>
          <w:p w14:paraId="0E377DE0" w14:textId="77777777" w:rsidR="006711E1" w:rsidRPr="0055420F" w:rsidRDefault="006711E1" w:rsidP="009F2C15">
            <w:pPr>
              <w:jc w:val="center"/>
              <w:rPr>
                <w:rFonts w:cs="Calibri"/>
                <w:color w:val="000000"/>
                <w:sz w:val="20"/>
                <w:szCs w:val="20"/>
              </w:rPr>
            </w:pPr>
          </w:p>
        </w:tc>
        <w:tc>
          <w:tcPr>
            <w:tcW w:w="1113" w:type="dxa"/>
            <w:tcBorders>
              <w:top w:val="nil"/>
              <w:left w:val="nil"/>
              <w:bottom w:val="nil"/>
              <w:right w:val="nil"/>
            </w:tcBorders>
            <w:vAlign w:val="bottom"/>
          </w:tcPr>
          <w:p w14:paraId="01E4C1B6" w14:textId="77777777" w:rsidR="006711E1" w:rsidRPr="0055420F" w:rsidRDefault="006711E1" w:rsidP="009F2C15">
            <w:pPr>
              <w:jc w:val="center"/>
              <w:rPr>
                <w:rFonts w:cs="Calibri"/>
                <w:color w:val="000000"/>
                <w:sz w:val="20"/>
                <w:szCs w:val="20"/>
              </w:rPr>
            </w:pPr>
          </w:p>
        </w:tc>
        <w:tc>
          <w:tcPr>
            <w:tcW w:w="1347" w:type="dxa"/>
            <w:tcBorders>
              <w:top w:val="nil"/>
              <w:left w:val="nil"/>
              <w:bottom w:val="nil"/>
            </w:tcBorders>
            <w:vAlign w:val="bottom"/>
          </w:tcPr>
          <w:p w14:paraId="3FE81399" w14:textId="77777777" w:rsidR="006711E1" w:rsidRPr="0055420F" w:rsidRDefault="006711E1" w:rsidP="009F2C15">
            <w:pPr>
              <w:jc w:val="center"/>
              <w:rPr>
                <w:rFonts w:cs="Calibri"/>
                <w:color w:val="000000"/>
                <w:sz w:val="20"/>
                <w:szCs w:val="20"/>
              </w:rPr>
            </w:pPr>
          </w:p>
        </w:tc>
      </w:tr>
      <w:tr w:rsidR="006711E1" w:rsidRPr="00AB496F" w14:paraId="7EBB6714" w14:textId="77777777" w:rsidTr="00CE237D">
        <w:trPr>
          <w:jc w:val="center"/>
        </w:trPr>
        <w:tc>
          <w:tcPr>
            <w:tcW w:w="3093" w:type="dxa"/>
            <w:tcBorders>
              <w:top w:val="nil"/>
              <w:bottom w:val="nil"/>
            </w:tcBorders>
            <w:vAlign w:val="bottom"/>
          </w:tcPr>
          <w:p w14:paraId="74240D97" w14:textId="77777777" w:rsidR="006711E1" w:rsidRPr="0055420F" w:rsidRDefault="006711E1" w:rsidP="009F2C15">
            <w:pPr>
              <w:rPr>
                <w:rFonts w:cs="Calibri"/>
                <w:color w:val="000000"/>
                <w:sz w:val="20"/>
                <w:szCs w:val="20"/>
              </w:rPr>
            </w:pPr>
            <w:r w:rsidRPr="0055420F">
              <w:rPr>
                <w:rFonts w:cs="Calibri"/>
                <w:color w:val="000000"/>
                <w:sz w:val="20"/>
                <w:szCs w:val="20"/>
              </w:rPr>
              <w:t>∆(Price)</w:t>
            </w:r>
          </w:p>
        </w:tc>
        <w:tc>
          <w:tcPr>
            <w:tcW w:w="1142" w:type="dxa"/>
            <w:tcBorders>
              <w:top w:val="nil"/>
              <w:bottom w:val="nil"/>
              <w:right w:val="nil"/>
            </w:tcBorders>
            <w:vAlign w:val="bottom"/>
          </w:tcPr>
          <w:p w14:paraId="262A5CC2" w14:textId="77777777" w:rsidR="006711E1" w:rsidRPr="0055420F" w:rsidRDefault="006711E1" w:rsidP="009F2C15">
            <w:pPr>
              <w:jc w:val="center"/>
              <w:rPr>
                <w:rFonts w:cs="Calibri"/>
                <w:color w:val="000000"/>
                <w:sz w:val="20"/>
                <w:szCs w:val="20"/>
              </w:rPr>
            </w:pPr>
            <w:r w:rsidRPr="0055420F">
              <w:rPr>
                <w:rFonts w:cs="Calibri"/>
                <w:color w:val="000000"/>
                <w:sz w:val="20"/>
                <w:szCs w:val="20"/>
              </w:rPr>
              <w:t>-0.1236***</w:t>
            </w:r>
          </w:p>
        </w:tc>
        <w:tc>
          <w:tcPr>
            <w:tcW w:w="1113" w:type="dxa"/>
            <w:tcBorders>
              <w:top w:val="nil"/>
              <w:left w:val="nil"/>
              <w:bottom w:val="nil"/>
              <w:right w:val="nil"/>
            </w:tcBorders>
            <w:vAlign w:val="bottom"/>
          </w:tcPr>
          <w:p w14:paraId="42353E8A" w14:textId="77777777" w:rsidR="006711E1" w:rsidRPr="0055420F" w:rsidRDefault="006711E1" w:rsidP="009F2C15">
            <w:pPr>
              <w:jc w:val="center"/>
              <w:rPr>
                <w:rFonts w:cs="Calibri"/>
                <w:color w:val="000000"/>
                <w:sz w:val="20"/>
                <w:szCs w:val="20"/>
              </w:rPr>
            </w:pPr>
            <w:r w:rsidRPr="0055420F">
              <w:rPr>
                <w:rFonts w:cs="Calibri"/>
                <w:color w:val="000000"/>
                <w:sz w:val="20"/>
                <w:szCs w:val="20"/>
              </w:rPr>
              <w:t>-0.0600</w:t>
            </w:r>
          </w:p>
        </w:tc>
        <w:tc>
          <w:tcPr>
            <w:tcW w:w="1347" w:type="dxa"/>
            <w:tcBorders>
              <w:top w:val="nil"/>
              <w:left w:val="nil"/>
              <w:bottom w:val="nil"/>
            </w:tcBorders>
            <w:vAlign w:val="bottom"/>
          </w:tcPr>
          <w:p w14:paraId="0FAD1997" w14:textId="77777777" w:rsidR="006711E1" w:rsidRPr="0055420F" w:rsidRDefault="006711E1" w:rsidP="009F2C15">
            <w:pPr>
              <w:jc w:val="center"/>
              <w:rPr>
                <w:rFonts w:cs="Calibri"/>
                <w:color w:val="000000"/>
                <w:sz w:val="20"/>
                <w:szCs w:val="20"/>
              </w:rPr>
            </w:pPr>
            <w:r w:rsidRPr="0055420F">
              <w:rPr>
                <w:rFonts w:cs="Calibri"/>
                <w:color w:val="000000"/>
                <w:sz w:val="20"/>
                <w:szCs w:val="20"/>
              </w:rPr>
              <w:t>0.2224</w:t>
            </w:r>
          </w:p>
        </w:tc>
      </w:tr>
      <w:tr w:rsidR="006711E1" w:rsidRPr="00AB496F" w14:paraId="71477764" w14:textId="77777777" w:rsidTr="00CE237D">
        <w:trPr>
          <w:jc w:val="center"/>
        </w:trPr>
        <w:tc>
          <w:tcPr>
            <w:tcW w:w="3093" w:type="dxa"/>
            <w:tcBorders>
              <w:top w:val="nil"/>
              <w:bottom w:val="nil"/>
            </w:tcBorders>
            <w:vAlign w:val="bottom"/>
          </w:tcPr>
          <w:p w14:paraId="766E776D" w14:textId="77777777" w:rsidR="006711E1" w:rsidRPr="0055420F" w:rsidRDefault="006711E1" w:rsidP="009F2C15">
            <w:pPr>
              <w:rPr>
                <w:rFonts w:cs="Calibri"/>
                <w:color w:val="000000"/>
                <w:sz w:val="20"/>
                <w:szCs w:val="20"/>
              </w:rPr>
            </w:pPr>
            <w:r w:rsidRPr="0055420F">
              <w:rPr>
                <w:rFonts w:cs="Calibri"/>
                <w:color w:val="000000"/>
                <w:sz w:val="20"/>
                <w:szCs w:val="20"/>
              </w:rPr>
              <w:t>Effective Spread</w:t>
            </w:r>
          </w:p>
        </w:tc>
        <w:tc>
          <w:tcPr>
            <w:tcW w:w="1142" w:type="dxa"/>
            <w:tcBorders>
              <w:top w:val="nil"/>
              <w:bottom w:val="nil"/>
              <w:right w:val="nil"/>
            </w:tcBorders>
            <w:vAlign w:val="bottom"/>
          </w:tcPr>
          <w:p w14:paraId="06E898E5" w14:textId="77777777" w:rsidR="006711E1" w:rsidRPr="0055420F" w:rsidRDefault="006711E1" w:rsidP="009F2C15">
            <w:pPr>
              <w:jc w:val="center"/>
              <w:rPr>
                <w:rFonts w:cs="Calibri"/>
                <w:color w:val="000000"/>
                <w:sz w:val="20"/>
                <w:szCs w:val="20"/>
              </w:rPr>
            </w:pPr>
            <w:r w:rsidRPr="0055420F">
              <w:rPr>
                <w:rFonts w:cs="Calibri"/>
                <w:color w:val="000000"/>
                <w:sz w:val="20"/>
                <w:szCs w:val="20"/>
              </w:rPr>
              <w:t>1.3685</w:t>
            </w:r>
          </w:p>
        </w:tc>
        <w:tc>
          <w:tcPr>
            <w:tcW w:w="1113" w:type="dxa"/>
            <w:tcBorders>
              <w:top w:val="nil"/>
              <w:left w:val="nil"/>
              <w:bottom w:val="nil"/>
              <w:right w:val="nil"/>
            </w:tcBorders>
            <w:vAlign w:val="bottom"/>
          </w:tcPr>
          <w:p w14:paraId="243E4C41" w14:textId="77777777" w:rsidR="006711E1" w:rsidRPr="0055420F" w:rsidRDefault="006711E1" w:rsidP="009F2C15">
            <w:pPr>
              <w:jc w:val="center"/>
              <w:rPr>
                <w:rFonts w:cs="Calibri"/>
                <w:color w:val="000000"/>
                <w:sz w:val="20"/>
                <w:szCs w:val="20"/>
              </w:rPr>
            </w:pPr>
            <w:r w:rsidRPr="0055420F">
              <w:rPr>
                <w:rFonts w:cs="Calibri"/>
                <w:color w:val="000000"/>
                <w:sz w:val="20"/>
                <w:szCs w:val="20"/>
              </w:rPr>
              <w:t>1.3804</w:t>
            </w:r>
          </w:p>
        </w:tc>
        <w:tc>
          <w:tcPr>
            <w:tcW w:w="1347" w:type="dxa"/>
            <w:tcBorders>
              <w:top w:val="nil"/>
              <w:left w:val="nil"/>
              <w:bottom w:val="nil"/>
            </w:tcBorders>
            <w:vAlign w:val="bottom"/>
          </w:tcPr>
          <w:p w14:paraId="050022E6" w14:textId="77777777" w:rsidR="006711E1" w:rsidRPr="0055420F" w:rsidRDefault="006711E1" w:rsidP="009F2C15">
            <w:pPr>
              <w:jc w:val="center"/>
              <w:rPr>
                <w:rFonts w:cs="Calibri"/>
                <w:color w:val="000000"/>
                <w:sz w:val="20"/>
                <w:szCs w:val="20"/>
              </w:rPr>
            </w:pPr>
            <w:r w:rsidRPr="0055420F">
              <w:rPr>
                <w:rFonts w:cs="Calibri"/>
                <w:color w:val="000000"/>
                <w:sz w:val="20"/>
                <w:szCs w:val="20"/>
              </w:rPr>
              <w:t>0.1015</w:t>
            </w:r>
          </w:p>
        </w:tc>
      </w:tr>
      <w:tr w:rsidR="006711E1" w:rsidRPr="00AB496F" w14:paraId="3D006C70" w14:textId="77777777" w:rsidTr="00CE237D">
        <w:trPr>
          <w:jc w:val="center"/>
        </w:trPr>
        <w:tc>
          <w:tcPr>
            <w:tcW w:w="3093" w:type="dxa"/>
            <w:tcBorders>
              <w:top w:val="nil"/>
              <w:bottom w:val="nil"/>
            </w:tcBorders>
            <w:vAlign w:val="bottom"/>
          </w:tcPr>
          <w:p w14:paraId="5DBC2D1D" w14:textId="77777777" w:rsidR="006711E1" w:rsidRPr="0055420F" w:rsidRDefault="006711E1" w:rsidP="009F2C15">
            <w:pPr>
              <w:rPr>
                <w:rFonts w:cs="Calibri"/>
                <w:color w:val="000000"/>
                <w:sz w:val="20"/>
                <w:szCs w:val="20"/>
              </w:rPr>
            </w:pPr>
            <w:r w:rsidRPr="0055420F">
              <w:rPr>
                <w:rFonts w:cs="Calibri"/>
                <w:color w:val="000000"/>
                <w:sz w:val="20"/>
                <w:szCs w:val="20"/>
              </w:rPr>
              <w:t>Volume</w:t>
            </w:r>
          </w:p>
        </w:tc>
        <w:tc>
          <w:tcPr>
            <w:tcW w:w="1142" w:type="dxa"/>
            <w:tcBorders>
              <w:top w:val="nil"/>
              <w:bottom w:val="nil"/>
              <w:right w:val="nil"/>
            </w:tcBorders>
            <w:vAlign w:val="bottom"/>
          </w:tcPr>
          <w:p w14:paraId="171BA00F" w14:textId="77777777" w:rsidR="006711E1" w:rsidRPr="0055420F" w:rsidRDefault="006711E1" w:rsidP="009F2C15">
            <w:pPr>
              <w:jc w:val="center"/>
              <w:rPr>
                <w:rFonts w:cs="Calibri"/>
                <w:color w:val="000000"/>
                <w:sz w:val="20"/>
                <w:szCs w:val="20"/>
              </w:rPr>
            </w:pPr>
            <w:r w:rsidRPr="0055420F">
              <w:rPr>
                <w:rFonts w:cs="Calibri"/>
                <w:color w:val="000000"/>
                <w:sz w:val="20"/>
                <w:szCs w:val="20"/>
              </w:rPr>
              <w:t>14,512***</w:t>
            </w:r>
          </w:p>
        </w:tc>
        <w:tc>
          <w:tcPr>
            <w:tcW w:w="1113" w:type="dxa"/>
            <w:tcBorders>
              <w:top w:val="nil"/>
              <w:left w:val="nil"/>
              <w:bottom w:val="nil"/>
              <w:right w:val="nil"/>
            </w:tcBorders>
            <w:vAlign w:val="bottom"/>
          </w:tcPr>
          <w:p w14:paraId="19D80FDB" w14:textId="77777777" w:rsidR="006711E1" w:rsidRPr="0055420F" w:rsidRDefault="006711E1" w:rsidP="009F2C15">
            <w:pPr>
              <w:jc w:val="center"/>
              <w:rPr>
                <w:rFonts w:cs="Calibri"/>
                <w:color w:val="000000"/>
                <w:sz w:val="20"/>
                <w:szCs w:val="20"/>
              </w:rPr>
            </w:pPr>
            <w:r w:rsidRPr="0055420F">
              <w:rPr>
                <w:rFonts w:cs="Calibri"/>
                <w:color w:val="000000"/>
                <w:sz w:val="20"/>
                <w:szCs w:val="20"/>
              </w:rPr>
              <w:t>14,132</w:t>
            </w:r>
          </w:p>
        </w:tc>
        <w:tc>
          <w:tcPr>
            <w:tcW w:w="1347" w:type="dxa"/>
            <w:tcBorders>
              <w:top w:val="nil"/>
              <w:left w:val="nil"/>
              <w:bottom w:val="nil"/>
            </w:tcBorders>
            <w:vAlign w:val="bottom"/>
          </w:tcPr>
          <w:p w14:paraId="10E50513" w14:textId="77777777" w:rsidR="006711E1" w:rsidRPr="0055420F" w:rsidRDefault="006711E1" w:rsidP="009F2C15">
            <w:pPr>
              <w:jc w:val="center"/>
              <w:rPr>
                <w:rFonts w:cs="Calibri"/>
                <w:color w:val="000000"/>
                <w:sz w:val="20"/>
                <w:szCs w:val="20"/>
              </w:rPr>
            </w:pPr>
            <w:r w:rsidRPr="0055420F">
              <w:rPr>
                <w:rFonts w:cs="Calibri"/>
                <w:color w:val="000000"/>
                <w:sz w:val="20"/>
                <w:szCs w:val="20"/>
              </w:rPr>
              <w:t>3,537</w:t>
            </w:r>
          </w:p>
        </w:tc>
      </w:tr>
      <w:tr w:rsidR="006711E1" w:rsidRPr="00AB496F" w14:paraId="0C7E2C01" w14:textId="77777777" w:rsidTr="00CE237D">
        <w:trPr>
          <w:jc w:val="center"/>
        </w:trPr>
        <w:tc>
          <w:tcPr>
            <w:tcW w:w="3093" w:type="dxa"/>
            <w:tcBorders>
              <w:top w:val="nil"/>
              <w:bottom w:val="nil"/>
            </w:tcBorders>
            <w:vAlign w:val="bottom"/>
          </w:tcPr>
          <w:p w14:paraId="544CE9EA" w14:textId="77777777" w:rsidR="006711E1" w:rsidRPr="0055420F" w:rsidRDefault="006711E1" w:rsidP="009F2C15">
            <w:pPr>
              <w:rPr>
                <w:rFonts w:cs="Calibri"/>
                <w:color w:val="000000"/>
                <w:sz w:val="20"/>
                <w:szCs w:val="20"/>
              </w:rPr>
            </w:pPr>
            <w:r w:rsidRPr="0055420F">
              <w:rPr>
                <w:rFonts w:cs="Calibri"/>
                <w:color w:val="000000"/>
                <w:sz w:val="20"/>
                <w:szCs w:val="20"/>
              </w:rPr>
              <w:t>Trade Imbalance</w:t>
            </w:r>
          </w:p>
        </w:tc>
        <w:tc>
          <w:tcPr>
            <w:tcW w:w="1142" w:type="dxa"/>
            <w:tcBorders>
              <w:top w:val="nil"/>
              <w:bottom w:val="nil"/>
              <w:right w:val="nil"/>
            </w:tcBorders>
            <w:vAlign w:val="bottom"/>
          </w:tcPr>
          <w:p w14:paraId="25B69F0F" w14:textId="77777777" w:rsidR="006711E1" w:rsidRPr="0055420F" w:rsidRDefault="006711E1" w:rsidP="009F2C15">
            <w:pPr>
              <w:jc w:val="center"/>
              <w:rPr>
                <w:rFonts w:cs="Calibri"/>
                <w:color w:val="000000"/>
                <w:sz w:val="20"/>
                <w:szCs w:val="20"/>
              </w:rPr>
            </w:pPr>
            <w:r w:rsidRPr="0055420F">
              <w:rPr>
                <w:rFonts w:cs="Calibri"/>
                <w:color w:val="000000"/>
                <w:sz w:val="20"/>
                <w:szCs w:val="20"/>
              </w:rPr>
              <w:t>0.0067***</w:t>
            </w:r>
          </w:p>
        </w:tc>
        <w:tc>
          <w:tcPr>
            <w:tcW w:w="1113" w:type="dxa"/>
            <w:tcBorders>
              <w:top w:val="nil"/>
              <w:left w:val="nil"/>
              <w:bottom w:val="nil"/>
              <w:right w:val="nil"/>
            </w:tcBorders>
            <w:vAlign w:val="bottom"/>
          </w:tcPr>
          <w:p w14:paraId="6A00CF40" w14:textId="77777777" w:rsidR="006711E1" w:rsidRPr="0055420F" w:rsidRDefault="006711E1" w:rsidP="009F2C15">
            <w:pPr>
              <w:jc w:val="center"/>
              <w:rPr>
                <w:rFonts w:cs="Calibri"/>
                <w:color w:val="000000"/>
                <w:sz w:val="20"/>
                <w:szCs w:val="20"/>
              </w:rPr>
            </w:pPr>
            <w:r w:rsidRPr="0055420F">
              <w:rPr>
                <w:rFonts w:cs="Calibri"/>
                <w:color w:val="000000"/>
                <w:sz w:val="20"/>
                <w:szCs w:val="20"/>
              </w:rPr>
              <w:t>0.0064</w:t>
            </w:r>
          </w:p>
        </w:tc>
        <w:tc>
          <w:tcPr>
            <w:tcW w:w="1347" w:type="dxa"/>
            <w:tcBorders>
              <w:top w:val="nil"/>
              <w:left w:val="nil"/>
              <w:bottom w:val="nil"/>
            </w:tcBorders>
            <w:vAlign w:val="bottom"/>
          </w:tcPr>
          <w:p w14:paraId="3C1BAB0F" w14:textId="77777777" w:rsidR="006711E1" w:rsidRPr="0055420F" w:rsidRDefault="006711E1" w:rsidP="009F2C15">
            <w:pPr>
              <w:jc w:val="center"/>
              <w:rPr>
                <w:rFonts w:cs="Calibri"/>
                <w:color w:val="000000"/>
                <w:sz w:val="20"/>
                <w:szCs w:val="20"/>
              </w:rPr>
            </w:pPr>
            <w:r w:rsidRPr="0055420F">
              <w:rPr>
                <w:rFonts w:cs="Calibri"/>
                <w:color w:val="000000"/>
                <w:sz w:val="20"/>
                <w:szCs w:val="20"/>
              </w:rPr>
              <w:t>0.0024</w:t>
            </w:r>
          </w:p>
        </w:tc>
      </w:tr>
      <w:tr w:rsidR="006711E1" w:rsidRPr="00AB496F" w14:paraId="4A558CEE" w14:textId="77777777" w:rsidTr="00CE237D">
        <w:trPr>
          <w:jc w:val="center"/>
        </w:trPr>
        <w:tc>
          <w:tcPr>
            <w:tcW w:w="3093" w:type="dxa"/>
            <w:tcBorders>
              <w:top w:val="nil"/>
              <w:bottom w:val="nil"/>
            </w:tcBorders>
            <w:vAlign w:val="bottom"/>
          </w:tcPr>
          <w:p w14:paraId="5F6AD5C3" w14:textId="77777777" w:rsidR="006711E1" w:rsidRPr="0055420F" w:rsidRDefault="006711E1" w:rsidP="009F2C15">
            <w:pPr>
              <w:rPr>
                <w:rFonts w:cs="Calibri"/>
                <w:color w:val="000000"/>
                <w:sz w:val="20"/>
                <w:szCs w:val="20"/>
              </w:rPr>
            </w:pPr>
            <w:r w:rsidRPr="0055420F">
              <w:rPr>
                <w:rFonts w:cs="Calibri"/>
                <w:color w:val="000000"/>
                <w:sz w:val="20"/>
                <w:szCs w:val="20"/>
              </w:rPr>
              <w:t>Herfindahl Index</w:t>
            </w:r>
          </w:p>
        </w:tc>
        <w:tc>
          <w:tcPr>
            <w:tcW w:w="1142" w:type="dxa"/>
            <w:tcBorders>
              <w:top w:val="nil"/>
              <w:bottom w:val="nil"/>
              <w:right w:val="nil"/>
            </w:tcBorders>
            <w:vAlign w:val="bottom"/>
          </w:tcPr>
          <w:p w14:paraId="20978AE9" w14:textId="77777777" w:rsidR="006711E1" w:rsidRPr="0055420F" w:rsidRDefault="006711E1" w:rsidP="009F2C15">
            <w:pPr>
              <w:jc w:val="center"/>
              <w:rPr>
                <w:rFonts w:cs="Calibri"/>
                <w:color w:val="000000"/>
                <w:sz w:val="20"/>
                <w:szCs w:val="20"/>
              </w:rPr>
            </w:pPr>
            <w:r w:rsidRPr="0055420F">
              <w:rPr>
                <w:rFonts w:cs="Calibri"/>
                <w:color w:val="000000"/>
                <w:sz w:val="20"/>
                <w:szCs w:val="20"/>
              </w:rPr>
              <w:t>0.0173**</w:t>
            </w:r>
          </w:p>
        </w:tc>
        <w:tc>
          <w:tcPr>
            <w:tcW w:w="1113" w:type="dxa"/>
            <w:tcBorders>
              <w:top w:val="nil"/>
              <w:left w:val="nil"/>
              <w:bottom w:val="nil"/>
              <w:right w:val="nil"/>
            </w:tcBorders>
            <w:vAlign w:val="bottom"/>
          </w:tcPr>
          <w:p w14:paraId="70B8C3CA" w14:textId="77777777" w:rsidR="006711E1" w:rsidRPr="0055420F" w:rsidRDefault="006711E1" w:rsidP="009F2C15">
            <w:pPr>
              <w:jc w:val="center"/>
              <w:rPr>
                <w:rFonts w:cs="Calibri"/>
                <w:color w:val="000000"/>
                <w:sz w:val="20"/>
                <w:szCs w:val="20"/>
              </w:rPr>
            </w:pPr>
            <w:r w:rsidRPr="0055420F">
              <w:rPr>
                <w:rFonts w:cs="Calibri"/>
                <w:color w:val="000000"/>
                <w:sz w:val="20"/>
                <w:szCs w:val="20"/>
              </w:rPr>
              <w:t>0.0169</w:t>
            </w:r>
          </w:p>
        </w:tc>
        <w:tc>
          <w:tcPr>
            <w:tcW w:w="1347" w:type="dxa"/>
            <w:tcBorders>
              <w:top w:val="nil"/>
              <w:left w:val="nil"/>
              <w:bottom w:val="nil"/>
            </w:tcBorders>
            <w:vAlign w:val="bottom"/>
          </w:tcPr>
          <w:p w14:paraId="7B3C1098" w14:textId="77777777" w:rsidR="006711E1" w:rsidRPr="0055420F" w:rsidRDefault="006711E1" w:rsidP="009F2C15">
            <w:pPr>
              <w:jc w:val="center"/>
              <w:rPr>
                <w:rFonts w:cs="Calibri"/>
                <w:color w:val="000000"/>
                <w:sz w:val="20"/>
                <w:szCs w:val="20"/>
              </w:rPr>
            </w:pPr>
            <w:r w:rsidRPr="0055420F">
              <w:rPr>
                <w:rFonts w:cs="Calibri"/>
                <w:color w:val="000000"/>
                <w:sz w:val="20"/>
                <w:szCs w:val="20"/>
              </w:rPr>
              <w:t>0.0022</w:t>
            </w:r>
          </w:p>
        </w:tc>
      </w:tr>
      <w:tr w:rsidR="006711E1" w:rsidRPr="00AB496F" w14:paraId="4FE8B475" w14:textId="77777777" w:rsidTr="00CE237D">
        <w:trPr>
          <w:jc w:val="center"/>
        </w:trPr>
        <w:tc>
          <w:tcPr>
            <w:tcW w:w="3093" w:type="dxa"/>
            <w:tcBorders>
              <w:top w:val="nil"/>
              <w:bottom w:val="nil"/>
            </w:tcBorders>
            <w:vAlign w:val="bottom"/>
          </w:tcPr>
          <w:p w14:paraId="4F0C6E16" w14:textId="77777777" w:rsidR="006711E1" w:rsidRPr="0055420F" w:rsidRDefault="006711E1" w:rsidP="009F2C15">
            <w:pPr>
              <w:rPr>
                <w:rFonts w:cs="Calibri"/>
                <w:color w:val="000000"/>
                <w:sz w:val="20"/>
                <w:szCs w:val="20"/>
              </w:rPr>
            </w:pPr>
            <w:r w:rsidRPr="0055420F">
              <w:rPr>
                <w:rFonts w:cs="Calibri"/>
                <w:color w:val="000000"/>
                <w:sz w:val="20"/>
                <w:szCs w:val="20"/>
              </w:rPr>
              <w:t>Signed Volume</w:t>
            </w:r>
          </w:p>
        </w:tc>
        <w:tc>
          <w:tcPr>
            <w:tcW w:w="1142" w:type="dxa"/>
            <w:tcBorders>
              <w:top w:val="nil"/>
              <w:bottom w:val="nil"/>
              <w:right w:val="nil"/>
            </w:tcBorders>
            <w:vAlign w:val="bottom"/>
          </w:tcPr>
          <w:p w14:paraId="2AE823DA" w14:textId="77777777" w:rsidR="006711E1" w:rsidRPr="0055420F" w:rsidRDefault="006711E1" w:rsidP="009F2C15">
            <w:pPr>
              <w:jc w:val="center"/>
              <w:rPr>
                <w:rFonts w:cs="Calibri"/>
                <w:color w:val="000000"/>
                <w:sz w:val="20"/>
                <w:szCs w:val="20"/>
              </w:rPr>
            </w:pPr>
            <w:r w:rsidRPr="0055420F">
              <w:rPr>
                <w:rFonts w:cs="Calibri"/>
                <w:color w:val="000000"/>
                <w:sz w:val="20"/>
                <w:szCs w:val="20"/>
              </w:rPr>
              <w:t>-8,777***</w:t>
            </w:r>
          </w:p>
        </w:tc>
        <w:tc>
          <w:tcPr>
            <w:tcW w:w="1113" w:type="dxa"/>
            <w:tcBorders>
              <w:top w:val="nil"/>
              <w:left w:val="nil"/>
              <w:bottom w:val="nil"/>
              <w:right w:val="nil"/>
            </w:tcBorders>
            <w:vAlign w:val="bottom"/>
          </w:tcPr>
          <w:p w14:paraId="26B41E37" w14:textId="77777777" w:rsidR="006711E1" w:rsidRPr="0055420F" w:rsidRDefault="006711E1" w:rsidP="009F2C15">
            <w:pPr>
              <w:jc w:val="center"/>
              <w:rPr>
                <w:rFonts w:cs="Calibri"/>
                <w:color w:val="000000"/>
                <w:sz w:val="20"/>
                <w:szCs w:val="20"/>
              </w:rPr>
            </w:pPr>
            <w:r w:rsidRPr="0055420F">
              <w:rPr>
                <w:rFonts w:cs="Calibri"/>
                <w:color w:val="000000"/>
                <w:sz w:val="20"/>
                <w:szCs w:val="20"/>
              </w:rPr>
              <w:t>-8,591</w:t>
            </w:r>
          </w:p>
        </w:tc>
        <w:tc>
          <w:tcPr>
            <w:tcW w:w="1347" w:type="dxa"/>
            <w:tcBorders>
              <w:top w:val="nil"/>
              <w:left w:val="nil"/>
              <w:bottom w:val="nil"/>
            </w:tcBorders>
            <w:vAlign w:val="bottom"/>
          </w:tcPr>
          <w:p w14:paraId="66F7EA69" w14:textId="77777777" w:rsidR="006711E1" w:rsidRPr="0055420F" w:rsidRDefault="006711E1" w:rsidP="009F2C15">
            <w:pPr>
              <w:jc w:val="center"/>
              <w:rPr>
                <w:rFonts w:cs="Calibri"/>
                <w:color w:val="000000"/>
                <w:sz w:val="20"/>
                <w:szCs w:val="20"/>
              </w:rPr>
            </w:pPr>
            <w:r w:rsidRPr="0055420F">
              <w:rPr>
                <w:rFonts w:cs="Calibri"/>
                <w:color w:val="000000"/>
                <w:sz w:val="20"/>
                <w:szCs w:val="20"/>
              </w:rPr>
              <w:t>3,467</w:t>
            </w:r>
          </w:p>
        </w:tc>
      </w:tr>
      <w:tr w:rsidR="006711E1" w:rsidRPr="00AB496F" w14:paraId="686109BF" w14:textId="77777777" w:rsidTr="00CE237D">
        <w:trPr>
          <w:jc w:val="center"/>
        </w:trPr>
        <w:tc>
          <w:tcPr>
            <w:tcW w:w="3093" w:type="dxa"/>
            <w:tcBorders>
              <w:top w:val="nil"/>
              <w:bottom w:val="single" w:sz="4" w:space="0" w:color="auto"/>
            </w:tcBorders>
            <w:vAlign w:val="bottom"/>
          </w:tcPr>
          <w:p w14:paraId="2D5FBF14" w14:textId="77777777" w:rsidR="006711E1" w:rsidRPr="0055420F" w:rsidRDefault="006711E1" w:rsidP="009F2C15">
            <w:pPr>
              <w:rPr>
                <w:rFonts w:cs="Calibri"/>
                <w:color w:val="000000"/>
                <w:sz w:val="20"/>
                <w:szCs w:val="20"/>
              </w:rPr>
            </w:pPr>
          </w:p>
        </w:tc>
        <w:tc>
          <w:tcPr>
            <w:tcW w:w="1142" w:type="dxa"/>
            <w:tcBorders>
              <w:top w:val="nil"/>
              <w:bottom w:val="single" w:sz="4" w:space="0" w:color="auto"/>
              <w:right w:val="nil"/>
            </w:tcBorders>
            <w:vAlign w:val="bottom"/>
          </w:tcPr>
          <w:p w14:paraId="4D321C2F" w14:textId="77777777" w:rsidR="006711E1" w:rsidRPr="0055420F" w:rsidRDefault="006711E1" w:rsidP="009F2C15">
            <w:pPr>
              <w:jc w:val="center"/>
              <w:rPr>
                <w:rFonts w:cs="Calibri"/>
                <w:color w:val="000000"/>
                <w:sz w:val="20"/>
                <w:szCs w:val="20"/>
              </w:rPr>
            </w:pPr>
          </w:p>
        </w:tc>
        <w:tc>
          <w:tcPr>
            <w:tcW w:w="1113" w:type="dxa"/>
            <w:tcBorders>
              <w:top w:val="nil"/>
              <w:left w:val="nil"/>
              <w:bottom w:val="single" w:sz="4" w:space="0" w:color="auto"/>
              <w:right w:val="nil"/>
            </w:tcBorders>
            <w:vAlign w:val="bottom"/>
          </w:tcPr>
          <w:p w14:paraId="16702093" w14:textId="77777777" w:rsidR="006711E1" w:rsidRPr="0055420F" w:rsidRDefault="006711E1" w:rsidP="009F2C15">
            <w:pPr>
              <w:jc w:val="center"/>
              <w:rPr>
                <w:rFonts w:cs="Calibri"/>
                <w:color w:val="000000"/>
                <w:sz w:val="20"/>
                <w:szCs w:val="20"/>
              </w:rPr>
            </w:pPr>
          </w:p>
        </w:tc>
        <w:tc>
          <w:tcPr>
            <w:tcW w:w="1347" w:type="dxa"/>
            <w:tcBorders>
              <w:top w:val="nil"/>
              <w:left w:val="nil"/>
              <w:bottom w:val="single" w:sz="4" w:space="0" w:color="auto"/>
            </w:tcBorders>
            <w:vAlign w:val="bottom"/>
          </w:tcPr>
          <w:p w14:paraId="669E77A6" w14:textId="77777777" w:rsidR="006711E1" w:rsidRPr="0055420F" w:rsidRDefault="006711E1" w:rsidP="009F2C15">
            <w:pPr>
              <w:jc w:val="center"/>
              <w:rPr>
                <w:rFonts w:cs="Calibri"/>
                <w:color w:val="000000"/>
                <w:sz w:val="20"/>
                <w:szCs w:val="20"/>
              </w:rPr>
            </w:pPr>
          </w:p>
        </w:tc>
      </w:tr>
      <w:tr w:rsidR="006711E1" w:rsidRPr="00AB496F" w14:paraId="74101515" w14:textId="77777777" w:rsidTr="00CE237D">
        <w:trPr>
          <w:jc w:val="center"/>
        </w:trPr>
        <w:tc>
          <w:tcPr>
            <w:tcW w:w="3093" w:type="dxa"/>
            <w:tcBorders>
              <w:bottom w:val="nil"/>
            </w:tcBorders>
          </w:tcPr>
          <w:p w14:paraId="6DBFDA8C" w14:textId="77777777" w:rsidR="006711E1" w:rsidRPr="0055420F" w:rsidRDefault="006711E1" w:rsidP="009F2C15">
            <w:pPr>
              <w:rPr>
                <w:sz w:val="20"/>
                <w:szCs w:val="20"/>
              </w:rPr>
            </w:pPr>
          </w:p>
        </w:tc>
        <w:tc>
          <w:tcPr>
            <w:tcW w:w="3602" w:type="dxa"/>
            <w:gridSpan w:val="3"/>
            <w:tcBorders>
              <w:bottom w:val="nil"/>
            </w:tcBorders>
          </w:tcPr>
          <w:p w14:paraId="743017DB" w14:textId="77777777" w:rsidR="006711E1" w:rsidRPr="0055420F" w:rsidRDefault="006711E1" w:rsidP="009F2C15">
            <w:pPr>
              <w:jc w:val="center"/>
              <w:rPr>
                <w:sz w:val="20"/>
                <w:szCs w:val="20"/>
              </w:rPr>
            </w:pPr>
            <w:r w:rsidRPr="0055420F">
              <w:rPr>
                <w:sz w:val="20"/>
                <w:szCs w:val="20"/>
              </w:rPr>
              <w:t>Crisis 2: 16-Sep-08 - 1-Apr-09</w:t>
            </w:r>
          </w:p>
        </w:tc>
      </w:tr>
      <w:tr w:rsidR="006711E1" w:rsidRPr="00AB496F" w14:paraId="4C76EA69" w14:textId="77777777" w:rsidTr="00CE237D">
        <w:trPr>
          <w:jc w:val="center"/>
        </w:trPr>
        <w:tc>
          <w:tcPr>
            <w:tcW w:w="3093" w:type="dxa"/>
            <w:tcBorders>
              <w:top w:val="nil"/>
              <w:bottom w:val="nil"/>
            </w:tcBorders>
            <w:vAlign w:val="bottom"/>
          </w:tcPr>
          <w:p w14:paraId="2805AF75" w14:textId="77777777" w:rsidR="006711E1" w:rsidRPr="0055420F" w:rsidRDefault="006711E1" w:rsidP="009F2C15">
            <w:pPr>
              <w:rPr>
                <w:rFonts w:cs="Calibri"/>
                <w:color w:val="000000"/>
                <w:sz w:val="20"/>
                <w:szCs w:val="20"/>
              </w:rPr>
            </w:pPr>
          </w:p>
        </w:tc>
        <w:tc>
          <w:tcPr>
            <w:tcW w:w="1142" w:type="dxa"/>
            <w:tcBorders>
              <w:top w:val="nil"/>
              <w:bottom w:val="nil"/>
              <w:right w:val="nil"/>
            </w:tcBorders>
            <w:vAlign w:val="bottom"/>
          </w:tcPr>
          <w:p w14:paraId="7D28D379" w14:textId="77777777" w:rsidR="006711E1" w:rsidRPr="0055420F" w:rsidRDefault="006711E1" w:rsidP="009F2C15">
            <w:pPr>
              <w:jc w:val="center"/>
              <w:rPr>
                <w:rFonts w:cs="Calibri"/>
                <w:color w:val="000000"/>
                <w:sz w:val="20"/>
                <w:szCs w:val="20"/>
              </w:rPr>
            </w:pPr>
          </w:p>
        </w:tc>
        <w:tc>
          <w:tcPr>
            <w:tcW w:w="1113" w:type="dxa"/>
            <w:tcBorders>
              <w:top w:val="nil"/>
              <w:left w:val="nil"/>
              <w:bottom w:val="nil"/>
              <w:right w:val="nil"/>
            </w:tcBorders>
            <w:vAlign w:val="bottom"/>
          </w:tcPr>
          <w:p w14:paraId="2245BD19" w14:textId="77777777" w:rsidR="006711E1" w:rsidRPr="0055420F" w:rsidRDefault="006711E1" w:rsidP="009F2C15">
            <w:pPr>
              <w:jc w:val="center"/>
              <w:rPr>
                <w:rFonts w:cs="Calibri"/>
                <w:color w:val="000000"/>
                <w:sz w:val="20"/>
                <w:szCs w:val="20"/>
              </w:rPr>
            </w:pPr>
          </w:p>
        </w:tc>
        <w:tc>
          <w:tcPr>
            <w:tcW w:w="1347" w:type="dxa"/>
            <w:tcBorders>
              <w:top w:val="nil"/>
              <w:left w:val="nil"/>
              <w:bottom w:val="nil"/>
            </w:tcBorders>
            <w:vAlign w:val="bottom"/>
          </w:tcPr>
          <w:p w14:paraId="68743089" w14:textId="77777777" w:rsidR="006711E1" w:rsidRPr="0055420F" w:rsidRDefault="006711E1" w:rsidP="009F2C15">
            <w:pPr>
              <w:jc w:val="center"/>
              <w:rPr>
                <w:rFonts w:cs="Calibri"/>
                <w:color w:val="000000"/>
                <w:sz w:val="20"/>
                <w:szCs w:val="20"/>
              </w:rPr>
            </w:pPr>
          </w:p>
        </w:tc>
      </w:tr>
      <w:tr w:rsidR="006711E1" w:rsidRPr="00AB496F" w14:paraId="198B149C" w14:textId="77777777" w:rsidTr="00CE237D">
        <w:trPr>
          <w:jc w:val="center"/>
        </w:trPr>
        <w:tc>
          <w:tcPr>
            <w:tcW w:w="3093" w:type="dxa"/>
            <w:tcBorders>
              <w:top w:val="nil"/>
              <w:bottom w:val="nil"/>
            </w:tcBorders>
            <w:vAlign w:val="bottom"/>
          </w:tcPr>
          <w:p w14:paraId="090B948A" w14:textId="77777777" w:rsidR="006711E1" w:rsidRPr="0055420F" w:rsidRDefault="006711E1" w:rsidP="009F2C15">
            <w:pPr>
              <w:rPr>
                <w:rFonts w:cs="Calibri"/>
                <w:color w:val="000000"/>
                <w:sz w:val="20"/>
                <w:szCs w:val="20"/>
              </w:rPr>
            </w:pPr>
            <w:r w:rsidRPr="0055420F">
              <w:rPr>
                <w:rFonts w:cs="Calibri"/>
                <w:color w:val="000000"/>
                <w:sz w:val="20"/>
                <w:szCs w:val="20"/>
              </w:rPr>
              <w:t>∆(Price)</w:t>
            </w:r>
          </w:p>
        </w:tc>
        <w:tc>
          <w:tcPr>
            <w:tcW w:w="1142" w:type="dxa"/>
            <w:tcBorders>
              <w:top w:val="nil"/>
              <w:bottom w:val="nil"/>
              <w:right w:val="nil"/>
            </w:tcBorders>
            <w:vAlign w:val="bottom"/>
          </w:tcPr>
          <w:p w14:paraId="1C4E362C" w14:textId="77777777" w:rsidR="006711E1" w:rsidRPr="0055420F" w:rsidRDefault="006711E1" w:rsidP="009F2C15">
            <w:pPr>
              <w:jc w:val="center"/>
              <w:rPr>
                <w:rFonts w:cs="Calibri"/>
                <w:color w:val="000000"/>
                <w:sz w:val="20"/>
                <w:szCs w:val="20"/>
              </w:rPr>
            </w:pPr>
            <w:r w:rsidRPr="0055420F">
              <w:rPr>
                <w:rFonts w:cs="Calibri"/>
                <w:color w:val="000000"/>
                <w:sz w:val="20"/>
                <w:szCs w:val="20"/>
              </w:rPr>
              <w:t>-0.2832***</w:t>
            </w:r>
          </w:p>
        </w:tc>
        <w:tc>
          <w:tcPr>
            <w:tcW w:w="1113" w:type="dxa"/>
            <w:tcBorders>
              <w:top w:val="nil"/>
              <w:left w:val="nil"/>
              <w:bottom w:val="nil"/>
              <w:right w:val="nil"/>
            </w:tcBorders>
            <w:vAlign w:val="bottom"/>
          </w:tcPr>
          <w:p w14:paraId="7F80E6C2" w14:textId="77777777" w:rsidR="006711E1" w:rsidRPr="0055420F" w:rsidRDefault="006711E1" w:rsidP="009F2C15">
            <w:pPr>
              <w:jc w:val="center"/>
              <w:rPr>
                <w:rFonts w:cs="Calibri"/>
                <w:color w:val="000000"/>
                <w:sz w:val="20"/>
                <w:szCs w:val="20"/>
              </w:rPr>
            </w:pPr>
            <w:r w:rsidRPr="0055420F">
              <w:rPr>
                <w:rFonts w:cs="Calibri"/>
                <w:color w:val="000000"/>
                <w:sz w:val="20"/>
                <w:szCs w:val="20"/>
              </w:rPr>
              <w:t>-0.2500</w:t>
            </w:r>
          </w:p>
        </w:tc>
        <w:tc>
          <w:tcPr>
            <w:tcW w:w="1347" w:type="dxa"/>
            <w:tcBorders>
              <w:top w:val="nil"/>
              <w:left w:val="nil"/>
              <w:bottom w:val="nil"/>
            </w:tcBorders>
            <w:vAlign w:val="bottom"/>
          </w:tcPr>
          <w:p w14:paraId="0F21AA33" w14:textId="77777777" w:rsidR="006711E1" w:rsidRPr="0055420F" w:rsidRDefault="006711E1" w:rsidP="009F2C15">
            <w:pPr>
              <w:jc w:val="center"/>
              <w:rPr>
                <w:rFonts w:cs="Calibri"/>
                <w:color w:val="000000"/>
                <w:sz w:val="20"/>
                <w:szCs w:val="20"/>
              </w:rPr>
            </w:pPr>
            <w:r w:rsidRPr="0055420F">
              <w:rPr>
                <w:rFonts w:cs="Calibri"/>
                <w:color w:val="000000"/>
                <w:sz w:val="20"/>
                <w:szCs w:val="20"/>
              </w:rPr>
              <w:t>0.2566</w:t>
            </w:r>
          </w:p>
        </w:tc>
      </w:tr>
      <w:tr w:rsidR="006711E1" w:rsidRPr="00AB496F" w14:paraId="3B26F2AB" w14:textId="77777777" w:rsidTr="00CE237D">
        <w:trPr>
          <w:jc w:val="center"/>
        </w:trPr>
        <w:tc>
          <w:tcPr>
            <w:tcW w:w="3093" w:type="dxa"/>
            <w:tcBorders>
              <w:top w:val="nil"/>
              <w:bottom w:val="nil"/>
            </w:tcBorders>
            <w:vAlign w:val="bottom"/>
          </w:tcPr>
          <w:p w14:paraId="07A2735A" w14:textId="77777777" w:rsidR="006711E1" w:rsidRPr="0055420F" w:rsidRDefault="006711E1" w:rsidP="009F2C15">
            <w:pPr>
              <w:rPr>
                <w:rFonts w:cs="Calibri"/>
                <w:color w:val="000000"/>
                <w:sz w:val="20"/>
                <w:szCs w:val="20"/>
              </w:rPr>
            </w:pPr>
            <w:r w:rsidRPr="0055420F">
              <w:rPr>
                <w:rFonts w:cs="Calibri"/>
                <w:color w:val="000000"/>
                <w:sz w:val="20"/>
                <w:szCs w:val="20"/>
              </w:rPr>
              <w:t>Effective Spread</w:t>
            </w:r>
          </w:p>
        </w:tc>
        <w:tc>
          <w:tcPr>
            <w:tcW w:w="1142" w:type="dxa"/>
            <w:tcBorders>
              <w:top w:val="nil"/>
              <w:bottom w:val="nil"/>
              <w:right w:val="nil"/>
            </w:tcBorders>
            <w:vAlign w:val="bottom"/>
          </w:tcPr>
          <w:p w14:paraId="7E2FEC87" w14:textId="77777777" w:rsidR="006711E1" w:rsidRPr="0055420F" w:rsidRDefault="006711E1" w:rsidP="009F2C15">
            <w:pPr>
              <w:jc w:val="center"/>
              <w:rPr>
                <w:rFonts w:cs="Calibri"/>
                <w:color w:val="000000"/>
                <w:sz w:val="20"/>
                <w:szCs w:val="20"/>
              </w:rPr>
            </w:pPr>
            <w:r w:rsidRPr="0055420F">
              <w:rPr>
                <w:rFonts w:cs="Calibri"/>
                <w:color w:val="000000"/>
                <w:sz w:val="20"/>
                <w:szCs w:val="20"/>
              </w:rPr>
              <w:t>1.3629</w:t>
            </w:r>
          </w:p>
        </w:tc>
        <w:tc>
          <w:tcPr>
            <w:tcW w:w="1113" w:type="dxa"/>
            <w:tcBorders>
              <w:top w:val="nil"/>
              <w:left w:val="nil"/>
              <w:bottom w:val="nil"/>
              <w:right w:val="nil"/>
            </w:tcBorders>
            <w:vAlign w:val="bottom"/>
          </w:tcPr>
          <w:p w14:paraId="0F91F706" w14:textId="77777777" w:rsidR="006711E1" w:rsidRPr="0055420F" w:rsidRDefault="006711E1" w:rsidP="009F2C15">
            <w:pPr>
              <w:jc w:val="center"/>
              <w:rPr>
                <w:rFonts w:cs="Calibri"/>
                <w:color w:val="000000"/>
                <w:sz w:val="20"/>
                <w:szCs w:val="20"/>
              </w:rPr>
            </w:pPr>
            <w:r w:rsidRPr="0055420F">
              <w:rPr>
                <w:rFonts w:cs="Calibri"/>
                <w:color w:val="000000"/>
                <w:sz w:val="20"/>
                <w:szCs w:val="20"/>
              </w:rPr>
              <w:t>1.3754</w:t>
            </w:r>
          </w:p>
        </w:tc>
        <w:tc>
          <w:tcPr>
            <w:tcW w:w="1347" w:type="dxa"/>
            <w:tcBorders>
              <w:top w:val="nil"/>
              <w:left w:val="nil"/>
              <w:bottom w:val="nil"/>
            </w:tcBorders>
            <w:vAlign w:val="bottom"/>
          </w:tcPr>
          <w:p w14:paraId="6DBE5DF2" w14:textId="77777777" w:rsidR="006711E1" w:rsidRPr="0055420F" w:rsidRDefault="006711E1" w:rsidP="009F2C15">
            <w:pPr>
              <w:jc w:val="center"/>
              <w:rPr>
                <w:rFonts w:cs="Calibri"/>
                <w:color w:val="000000"/>
                <w:sz w:val="20"/>
                <w:szCs w:val="20"/>
              </w:rPr>
            </w:pPr>
            <w:r w:rsidRPr="0055420F">
              <w:rPr>
                <w:rFonts w:cs="Calibri"/>
                <w:color w:val="000000"/>
                <w:sz w:val="20"/>
                <w:szCs w:val="20"/>
              </w:rPr>
              <w:t>0.0939</w:t>
            </w:r>
          </w:p>
        </w:tc>
      </w:tr>
      <w:tr w:rsidR="006711E1" w:rsidRPr="00AB496F" w14:paraId="0ECB6E6B" w14:textId="77777777" w:rsidTr="00CE237D">
        <w:trPr>
          <w:jc w:val="center"/>
        </w:trPr>
        <w:tc>
          <w:tcPr>
            <w:tcW w:w="3093" w:type="dxa"/>
            <w:tcBorders>
              <w:top w:val="nil"/>
              <w:bottom w:val="nil"/>
            </w:tcBorders>
            <w:vAlign w:val="bottom"/>
          </w:tcPr>
          <w:p w14:paraId="6038575F" w14:textId="77777777" w:rsidR="006711E1" w:rsidRPr="0055420F" w:rsidRDefault="006711E1" w:rsidP="009F2C15">
            <w:pPr>
              <w:rPr>
                <w:rFonts w:cs="Calibri"/>
                <w:color w:val="000000"/>
                <w:sz w:val="20"/>
                <w:szCs w:val="20"/>
              </w:rPr>
            </w:pPr>
            <w:r w:rsidRPr="0055420F">
              <w:rPr>
                <w:rFonts w:cs="Calibri"/>
                <w:color w:val="000000"/>
                <w:sz w:val="20"/>
                <w:szCs w:val="20"/>
              </w:rPr>
              <w:t>Volume</w:t>
            </w:r>
          </w:p>
        </w:tc>
        <w:tc>
          <w:tcPr>
            <w:tcW w:w="1142" w:type="dxa"/>
            <w:tcBorders>
              <w:top w:val="nil"/>
              <w:bottom w:val="nil"/>
              <w:right w:val="nil"/>
            </w:tcBorders>
            <w:vAlign w:val="bottom"/>
          </w:tcPr>
          <w:p w14:paraId="6C7CBBC3" w14:textId="77777777" w:rsidR="006711E1" w:rsidRPr="0055420F" w:rsidRDefault="006711E1" w:rsidP="009F2C15">
            <w:pPr>
              <w:jc w:val="center"/>
              <w:rPr>
                <w:rFonts w:cs="Calibri"/>
                <w:color w:val="000000"/>
                <w:sz w:val="20"/>
                <w:szCs w:val="20"/>
              </w:rPr>
            </w:pPr>
            <w:r w:rsidRPr="0055420F">
              <w:rPr>
                <w:rFonts w:cs="Calibri"/>
                <w:color w:val="000000"/>
                <w:sz w:val="20"/>
                <w:szCs w:val="20"/>
              </w:rPr>
              <w:t>7,796***</w:t>
            </w:r>
          </w:p>
        </w:tc>
        <w:tc>
          <w:tcPr>
            <w:tcW w:w="1113" w:type="dxa"/>
            <w:tcBorders>
              <w:top w:val="nil"/>
              <w:left w:val="nil"/>
              <w:bottom w:val="nil"/>
              <w:right w:val="nil"/>
            </w:tcBorders>
            <w:vAlign w:val="bottom"/>
          </w:tcPr>
          <w:p w14:paraId="083C2965" w14:textId="77777777" w:rsidR="006711E1" w:rsidRPr="0055420F" w:rsidRDefault="006711E1" w:rsidP="009F2C15">
            <w:pPr>
              <w:jc w:val="center"/>
              <w:rPr>
                <w:rFonts w:cs="Calibri"/>
                <w:color w:val="000000"/>
                <w:sz w:val="20"/>
                <w:szCs w:val="20"/>
              </w:rPr>
            </w:pPr>
            <w:r w:rsidRPr="0055420F">
              <w:rPr>
                <w:rFonts w:cs="Calibri"/>
                <w:color w:val="000000"/>
                <w:sz w:val="20"/>
                <w:szCs w:val="20"/>
              </w:rPr>
              <w:t>7,763</w:t>
            </w:r>
          </w:p>
        </w:tc>
        <w:tc>
          <w:tcPr>
            <w:tcW w:w="1347" w:type="dxa"/>
            <w:tcBorders>
              <w:top w:val="nil"/>
              <w:left w:val="nil"/>
              <w:bottom w:val="nil"/>
            </w:tcBorders>
            <w:vAlign w:val="bottom"/>
          </w:tcPr>
          <w:p w14:paraId="070CBD6B" w14:textId="77777777" w:rsidR="006711E1" w:rsidRPr="0055420F" w:rsidRDefault="006711E1" w:rsidP="009F2C15">
            <w:pPr>
              <w:jc w:val="center"/>
              <w:rPr>
                <w:rFonts w:cs="Calibri"/>
                <w:color w:val="000000"/>
                <w:sz w:val="20"/>
                <w:szCs w:val="20"/>
              </w:rPr>
            </w:pPr>
            <w:r w:rsidRPr="0055420F">
              <w:rPr>
                <w:rFonts w:cs="Calibri"/>
                <w:color w:val="000000"/>
                <w:sz w:val="20"/>
                <w:szCs w:val="20"/>
              </w:rPr>
              <w:t>2,568</w:t>
            </w:r>
          </w:p>
        </w:tc>
      </w:tr>
      <w:tr w:rsidR="006711E1" w:rsidRPr="00AB496F" w14:paraId="21E9C415" w14:textId="77777777" w:rsidTr="00CE237D">
        <w:trPr>
          <w:jc w:val="center"/>
        </w:trPr>
        <w:tc>
          <w:tcPr>
            <w:tcW w:w="3093" w:type="dxa"/>
            <w:tcBorders>
              <w:top w:val="nil"/>
              <w:bottom w:val="nil"/>
            </w:tcBorders>
            <w:vAlign w:val="bottom"/>
          </w:tcPr>
          <w:p w14:paraId="2D57A95B" w14:textId="77777777" w:rsidR="006711E1" w:rsidRPr="0055420F" w:rsidRDefault="006711E1" w:rsidP="009F2C15">
            <w:pPr>
              <w:rPr>
                <w:rFonts w:cs="Calibri"/>
                <w:color w:val="000000"/>
                <w:sz w:val="20"/>
                <w:szCs w:val="20"/>
              </w:rPr>
            </w:pPr>
            <w:r w:rsidRPr="0055420F">
              <w:rPr>
                <w:rFonts w:cs="Calibri"/>
                <w:color w:val="000000"/>
                <w:sz w:val="20"/>
                <w:szCs w:val="20"/>
              </w:rPr>
              <w:t>Trade Imbalance</w:t>
            </w:r>
          </w:p>
        </w:tc>
        <w:tc>
          <w:tcPr>
            <w:tcW w:w="1142" w:type="dxa"/>
            <w:tcBorders>
              <w:top w:val="nil"/>
              <w:bottom w:val="nil"/>
              <w:right w:val="nil"/>
            </w:tcBorders>
            <w:vAlign w:val="bottom"/>
          </w:tcPr>
          <w:p w14:paraId="1708E187" w14:textId="77777777" w:rsidR="006711E1" w:rsidRPr="0055420F" w:rsidRDefault="006711E1" w:rsidP="009F2C15">
            <w:pPr>
              <w:jc w:val="center"/>
              <w:rPr>
                <w:rFonts w:cs="Calibri"/>
                <w:color w:val="000000"/>
                <w:sz w:val="20"/>
                <w:szCs w:val="20"/>
              </w:rPr>
            </w:pPr>
            <w:r w:rsidRPr="0055420F">
              <w:rPr>
                <w:rFonts w:cs="Calibri"/>
                <w:color w:val="000000"/>
                <w:sz w:val="20"/>
                <w:szCs w:val="20"/>
              </w:rPr>
              <w:t>0.0078***</w:t>
            </w:r>
          </w:p>
        </w:tc>
        <w:tc>
          <w:tcPr>
            <w:tcW w:w="1113" w:type="dxa"/>
            <w:tcBorders>
              <w:top w:val="nil"/>
              <w:left w:val="nil"/>
              <w:bottom w:val="nil"/>
              <w:right w:val="nil"/>
            </w:tcBorders>
            <w:vAlign w:val="bottom"/>
          </w:tcPr>
          <w:p w14:paraId="4AC0A6DF" w14:textId="77777777" w:rsidR="006711E1" w:rsidRPr="0055420F" w:rsidRDefault="006711E1" w:rsidP="009F2C15">
            <w:pPr>
              <w:jc w:val="center"/>
              <w:rPr>
                <w:rFonts w:cs="Calibri"/>
                <w:color w:val="000000"/>
                <w:sz w:val="20"/>
                <w:szCs w:val="20"/>
              </w:rPr>
            </w:pPr>
            <w:r w:rsidRPr="0055420F">
              <w:rPr>
                <w:rFonts w:cs="Calibri"/>
                <w:color w:val="000000"/>
                <w:sz w:val="20"/>
                <w:szCs w:val="20"/>
              </w:rPr>
              <w:t>0.0072</w:t>
            </w:r>
          </w:p>
        </w:tc>
        <w:tc>
          <w:tcPr>
            <w:tcW w:w="1347" w:type="dxa"/>
            <w:tcBorders>
              <w:top w:val="nil"/>
              <w:left w:val="nil"/>
              <w:bottom w:val="nil"/>
            </w:tcBorders>
            <w:vAlign w:val="bottom"/>
          </w:tcPr>
          <w:p w14:paraId="5BCEA701" w14:textId="77777777" w:rsidR="006711E1" w:rsidRPr="0055420F" w:rsidRDefault="006711E1" w:rsidP="009F2C15">
            <w:pPr>
              <w:jc w:val="center"/>
              <w:rPr>
                <w:rFonts w:cs="Calibri"/>
                <w:color w:val="000000"/>
                <w:sz w:val="20"/>
                <w:szCs w:val="20"/>
              </w:rPr>
            </w:pPr>
            <w:r w:rsidRPr="0055420F">
              <w:rPr>
                <w:rFonts w:cs="Calibri"/>
                <w:color w:val="000000"/>
                <w:sz w:val="20"/>
                <w:szCs w:val="20"/>
              </w:rPr>
              <w:t>0.0027</w:t>
            </w:r>
          </w:p>
        </w:tc>
      </w:tr>
      <w:tr w:rsidR="006711E1" w:rsidRPr="00AB496F" w14:paraId="52606915" w14:textId="77777777" w:rsidTr="00CE237D">
        <w:trPr>
          <w:jc w:val="center"/>
        </w:trPr>
        <w:tc>
          <w:tcPr>
            <w:tcW w:w="3093" w:type="dxa"/>
            <w:tcBorders>
              <w:top w:val="nil"/>
              <w:bottom w:val="nil"/>
            </w:tcBorders>
            <w:vAlign w:val="bottom"/>
          </w:tcPr>
          <w:p w14:paraId="201410A1" w14:textId="77777777" w:rsidR="006711E1" w:rsidRPr="0055420F" w:rsidRDefault="006711E1" w:rsidP="009F2C15">
            <w:pPr>
              <w:rPr>
                <w:rFonts w:cs="Calibri"/>
                <w:color w:val="000000"/>
                <w:sz w:val="20"/>
                <w:szCs w:val="20"/>
              </w:rPr>
            </w:pPr>
            <w:r w:rsidRPr="0055420F">
              <w:rPr>
                <w:rFonts w:cs="Calibri"/>
                <w:color w:val="000000"/>
                <w:sz w:val="20"/>
                <w:szCs w:val="20"/>
              </w:rPr>
              <w:t>Herfindahl Index</w:t>
            </w:r>
          </w:p>
        </w:tc>
        <w:tc>
          <w:tcPr>
            <w:tcW w:w="1142" w:type="dxa"/>
            <w:tcBorders>
              <w:top w:val="nil"/>
              <w:bottom w:val="nil"/>
              <w:right w:val="nil"/>
            </w:tcBorders>
            <w:vAlign w:val="bottom"/>
          </w:tcPr>
          <w:p w14:paraId="3CCEB067" w14:textId="77777777" w:rsidR="006711E1" w:rsidRPr="0055420F" w:rsidRDefault="006711E1" w:rsidP="009F2C15">
            <w:pPr>
              <w:jc w:val="center"/>
              <w:rPr>
                <w:rFonts w:cs="Calibri"/>
                <w:color w:val="000000"/>
                <w:sz w:val="20"/>
                <w:szCs w:val="20"/>
              </w:rPr>
            </w:pPr>
            <w:r w:rsidRPr="0055420F">
              <w:rPr>
                <w:rFonts w:cs="Calibri"/>
                <w:color w:val="000000"/>
                <w:sz w:val="20"/>
                <w:szCs w:val="20"/>
              </w:rPr>
              <w:t>0.0202***</w:t>
            </w:r>
          </w:p>
        </w:tc>
        <w:tc>
          <w:tcPr>
            <w:tcW w:w="1113" w:type="dxa"/>
            <w:tcBorders>
              <w:top w:val="nil"/>
              <w:left w:val="nil"/>
              <w:bottom w:val="nil"/>
              <w:right w:val="nil"/>
            </w:tcBorders>
            <w:vAlign w:val="bottom"/>
          </w:tcPr>
          <w:p w14:paraId="605236EF" w14:textId="77777777" w:rsidR="006711E1" w:rsidRPr="0055420F" w:rsidRDefault="006711E1" w:rsidP="009F2C15">
            <w:pPr>
              <w:jc w:val="center"/>
              <w:rPr>
                <w:rFonts w:cs="Calibri"/>
                <w:color w:val="000000"/>
                <w:sz w:val="20"/>
                <w:szCs w:val="20"/>
              </w:rPr>
            </w:pPr>
            <w:r w:rsidRPr="0055420F">
              <w:rPr>
                <w:rFonts w:cs="Calibri"/>
                <w:color w:val="000000"/>
                <w:sz w:val="20"/>
                <w:szCs w:val="20"/>
              </w:rPr>
              <w:t>0.0199</w:t>
            </w:r>
          </w:p>
        </w:tc>
        <w:tc>
          <w:tcPr>
            <w:tcW w:w="1347" w:type="dxa"/>
            <w:tcBorders>
              <w:top w:val="nil"/>
              <w:left w:val="nil"/>
              <w:bottom w:val="nil"/>
            </w:tcBorders>
            <w:vAlign w:val="bottom"/>
          </w:tcPr>
          <w:p w14:paraId="4D124EA8" w14:textId="77777777" w:rsidR="006711E1" w:rsidRPr="0055420F" w:rsidRDefault="006711E1" w:rsidP="009F2C15">
            <w:pPr>
              <w:jc w:val="center"/>
              <w:rPr>
                <w:rFonts w:cs="Calibri"/>
                <w:color w:val="000000"/>
                <w:sz w:val="20"/>
                <w:szCs w:val="20"/>
              </w:rPr>
            </w:pPr>
            <w:r w:rsidRPr="0055420F">
              <w:rPr>
                <w:rFonts w:cs="Calibri"/>
                <w:color w:val="000000"/>
                <w:sz w:val="20"/>
                <w:szCs w:val="20"/>
              </w:rPr>
              <w:t>0.0026</w:t>
            </w:r>
          </w:p>
        </w:tc>
      </w:tr>
      <w:tr w:rsidR="006711E1" w:rsidRPr="00AB496F" w14:paraId="3C744D34" w14:textId="77777777" w:rsidTr="00CE237D">
        <w:trPr>
          <w:jc w:val="center"/>
        </w:trPr>
        <w:tc>
          <w:tcPr>
            <w:tcW w:w="3093" w:type="dxa"/>
            <w:tcBorders>
              <w:top w:val="nil"/>
              <w:bottom w:val="nil"/>
            </w:tcBorders>
            <w:vAlign w:val="bottom"/>
          </w:tcPr>
          <w:p w14:paraId="57AC339A" w14:textId="77777777" w:rsidR="006711E1" w:rsidRPr="0055420F" w:rsidRDefault="006711E1" w:rsidP="009F2C15">
            <w:pPr>
              <w:rPr>
                <w:rFonts w:cs="Calibri"/>
                <w:color w:val="000000"/>
                <w:sz w:val="20"/>
                <w:szCs w:val="20"/>
              </w:rPr>
            </w:pPr>
            <w:r w:rsidRPr="0055420F">
              <w:rPr>
                <w:rFonts w:cs="Calibri"/>
                <w:color w:val="000000"/>
                <w:sz w:val="20"/>
                <w:szCs w:val="20"/>
              </w:rPr>
              <w:t>Signed Volume</w:t>
            </w:r>
          </w:p>
        </w:tc>
        <w:tc>
          <w:tcPr>
            <w:tcW w:w="1142" w:type="dxa"/>
            <w:tcBorders>
              <w:top w:val="nil"/>
              <w:bottom w:val="nil"/>
              <w:right w:val="nil"/>
            </w:tcBorders>
            <w:vAlign w:val="bottom"/>
          </w:tcPr>
          <w:p w14:paraId="04448725" w14:textId="77777777" w:rsidR="006711E1" w:rsidRPr="0055420F" w:rsidRDefault="006711E1" w:rsidP="009F2C15">
            <w:pPr>
              <w:jc w:val="center"/>
              <w:rPr>
                <w:rFonts w:cs="Calibri"/>
                <w:color w:val="000000"/>
                <w:sz w:val="20"/>
                <w:szCs w:val="20"/>
              </w:rPr>
            </w:pPr>
            <w:r w:rsidRPr="0055420F">
              <w:rPr>
                <w:rFonts w:cs="Calibri"/>
                <w:color w:val="000000"/>
                <w:sz w:val="20"/>
                <w:szCs w:val="20"/>
              </w:rPr>
              <w:t>-4,351***</w:t>
            </w:r>
          </w:p>
        </w:tc>
        <w:tc>
          <w:tcPr>
            <w:tcW w:w="1113" w:type="dxa"/>
            <w:tcBorders>
              <w:top w:val="nil"/>
              <w:left w:val="nil"/>
              <w:bottom w:val="nil"/>
              <w:right w:val="nil"/>
            </w:tcBorders>
            <w:vAlign w:val="bottom"/>
          </w:tcPr>
          <w:p w14:paraId="54015501" w14:textId="77777777" w:rsidR="006711E1" w:rsidRPr="0055420F" w:rsidRDefault="006711E1" w:rsidP="009F2C15">
            <w:pPr>
              <w:jc w:val="center"/>
              <w:rPr>
                <w:rFonts w:cs="Calibri"/>
                <w:color w:val="000000"/>
                <w:sz w:val="20"/>
                <w:szCs w:val="20"/>
              </w:rPr>
            </w:pPr>
            <w:r w:rsidRPr="0055420F">
              <w:rPr>
                <w:rFonts w:cs="Calibri"/>
                <w:color w:val="000000"/>
                <w:sz w:val="20"/>
                <w:szCs w:val="20"/>
              </w:rPr>
              <w:t>-4,014</w:t>
            </w:r>
          </w:p>
        </w:tc>
        <w:tc>
          <w:tcPr>
            <w:tcW w:w="1347" w:type="dxa"/>
            <w:tcBorders>
              <w:top w:val="nil"/>
              <w:left w:val="nil"/>
              <w:bottom w:val="nil"/>
            </w:tcBorders>
            <w:vAlign w:val="bottom"/>
          </w:tcPr>
          <w:p w14:paraId="5226FAE7" w14:textId="77777777" w:rsidR="006711E1" w:rsidRPr="0055420F" w:rsidRDefault="006711E1" w:rsidP="009F2C15">
            <w:pPr>
              <w:jc w:val="center"/>
              <w:rPr>
                <w:rFonts w:cs="Calibri"/>
                <w:color w:val="000000"/>
                <w:sz w:val="20"/>
                <w:szCs w:val="20"/>
              </w:rPr>
            </w:pPr>
            <w:r w:rsidRPr="0055420F">
              <w:rPr>
                <w:rFonts w:cs="Calibri"/>
                <w:color w:val="000000"/>
                <w:sz w:val="20"/>
                <w:szCs w:val="20"/>
              </w:rPr>
              <w:t>2,180</w:t>
            </w:r>
          </w:p>
        </w:tc>
      </w:tr>
      <w:tr w:rsidR="006711E1" w:rsidRPr="00AB496F" w14:paraId="216ABB4E" w14:textId="77777777" w:rsidTr="00CE237D">
        <w:trPr>
          <w:jc w:val="center"/>
        </w:trPr>
        <w:tc>
          <w:tcPr>
            <w:tcW w:w="3093" w:type="dxa"/>
            <w:tcBorders>
              <w:top w:val="nil"/>
              <w:bottom w:val="single" w:sz="4" w:space="0" w:color="auto"/>
            </w:tcBorders>
            <w:vAlign w:val="bottom"/>
          </w:tcPr>
          <w:p w14:paraId="54C2A333" w14:textId="77777777" w:rsidR="006711E1" w:rsidRPr="0055420F" w:rsidRDefault="006711E1" w:rsidP="009F2C15">
            <w:pPr>
              <w:rPr>
                <w:rFonts w:cs="Calibri"/>
                <w:color w:val="000000"/>
                <w:sz w:val="20"/>
                <w:szCs w:val="20"/>
              </w:rPr>
            </w:pPr>
          </w:p>
        </w:tc>
        <w:tc>
          <w:tcPr>
            <w:tcW w:w="1142" w:type="dxa"/>
            <w:tcBorders>
              <w:top w:val="nil"/>
              <w:bottom w:val="single" w:sz="4" w:space="0" w:color="auto"/>
              <w:right w:val="nil"/>
            </w:tcBorders>
            <w:vAlign w:val="bottom"/>
          </w:tcPr>
          <w:p w14:paraId="49FBB72A" w14:textId="77777777" w:rsidR="006711E1" w:rsidRPr="0055420F" w:rsidRDefault="006711E1" w:rsidP="009F2C15">
            <w:pPr>
              <w:jc w:val="center"/>
              <w:rPr>
                <w:rFonts w:cs="Calibri"/>
                <w:color w:val="000000"/>
                <w:sz w:val="20"/>
                <w:szCs w:val="20"/>
              </w:rPr>
            </w:pPr>
          </w:p>
        </w:tc>
        <w:tc>
          <w:tcPr>
            <w:tcW w:w="1113" w:type="dxa"/>
            <w:tcBorders>
              <w:top w:val="nil"/>
              <w:left w:val="nil"/>
              <w:bottom w:val="single" w:sz="4" w:space="0" w:color="auto"/>
              <w:right w:val="nil"/>
            </w:tcBorders>
            <w:vAlign w:val="bottom"/>
          </w:tcPr>
          <w:p w14:paraId="58AEA5B7" w14:textId="77777777" w:rsidR="006711E1" w:rsidRPr="0055420F" w:rsidRDefault="006711E1" w:rsidP="009F2C15">
            <w:pPr>
              <w:jc w:val="center"/>
              <w:rPr>
                <w:rFonts w:cs="Calibri"/>
                <w:color w:val="000000"/>
                <w:sz w:val="20"/>
                <w:szCs w:val="20"/>
              </w:rPr>
            </w:pPr>
          </w:p>
        </w:tc>
        <w:tc>
          <w:tcPr>
            <w:tcW w:w="1347" w:type="dxa"/>
            <w:tcBorders>
              <w:top w:val="nil"/>
              <w:left w:val="nil"/>
              <w:bottom w:val="single" w:sz="4" w:space="0" w:color="auto"/>
            </w:tcBorders>
            <w:vAlign w:val="bottom"/>
          </w:tcPr>
          <w:p w14:paraId="3F18470E" w14:textId="77777777" w:rsidR="006711E1" w:rsidRPr="0055420F" w:rsidRDefault="006711E1" w:rsidP="009F2C15">
            <w:pPr>
              <w:jc w:val="center"/>
              <w:rPr>
                <w:rFonts w:cs="Calibri"/>
                <w:color w:val="000000"/>
                <w:sz w:val="20"/>
                <w:szCs w:val="20"/>
              </w:rPr>
            </w:pPr>
          </w:p>
        </w:tc>
      </w:tr>
      <w:tr w:rsidR="006711E1" w:rsidRPr="00AB496F" w14:paraId="148C2223" w14:textId="77777777" w:rsidTr="00CE237D">
        <w:trPr>
          <w:jc w:val="center"/>
        </w:trPr>
        <w:tc>
          <w:tcPr>
            <w:tcW w:w="3093" w:type="dxa"/>
            <w:tcBorders>
              <w:bottom w:val="nil"/>
            </w:tcBorders>
          </w:tcPr>
          <w:p w14:paraId="16A0634C" w14:textId="77777777" w:rsidR="006711E1" w:rsidRPr="0055420F" w:rsidRDefault="006711E1" w:rsidP="009F2C15">
            <w:pPr>
              <w:rPr>
                <w:sz w:val="20"/>
                <w:szCs w:val="20"/>
              </w:rPr>
            </w:pPr>
          </w:p>
        </w:tc>
        <w:tc>
          <w:tcPr>
            <w:tcW w:w="3602" w:type="dxa"/>
            <w:gridSpan w:val="3"/>
            <w:tcBorders>
              <w:bottom w:val="nil"/>
            </w:tcBorders>
          </w:tcPr>
          <w:p w14:paraId="220E2AC9" w14:textId="77777777" w:rsidR="006711E1" w:rsidRPr="0055420F" w:rsidRDefault="006711E1" w:rsidP="009F2C15">
            <w:pPr>
              <w:jc w:val="center"/>
              <w:rPr>
                <w:sz w:val="20"/>
                <w:szCs w:val="20"/>
              </w:rPr>
            </w:pPr>
            <w:r w:rsidRPr="0055420F">
              <w:rPr>
                <w:sz w:val="20"/>
                <w:szCs w:val="20"/>
              </w:rPr>
              <w:t>Post-Crisis: 2-Apr-09 - 31-Mar-10</w:t>
            </w:r>
          </w:p>
        </w:tc>
      </w:tr>
      <w:tr w:rsidR="006711E1" w:rsidRPr="00AB496F" w14:paraId="681DC38D" w14:textId="77777777" w:rsidTr="00CE237D">
        <w:trPr>
          <w:jc w:val="center"/>
        </w:trPr>
        <w:tc>
          <w:tcPr>
            <w:tcW w:w="3093" w:type="dxa"/>
            <w:tcBorders>
              <w:top w:val="nil"/>
              <w:bottom w:val="nil"/>
            </w:tcBorders>
            <w:vAlign w:val="bottom"/>
          </w:tcPr>
          <w:p w14:paraId="5F064645" w14:textId="77777777" w:rsidR="006711E1" w:rsidRPr="0055420F" w:rsidRDefault="006711E1" w:rsidP="009F2C15">
            <w:pPr>
              <w:rPr>
                <w:rFonts w:cs="Calibri"/>
                <w:color w:val="000000"/>
                <w:sz w:val="20"/>
                <w:szCs w:val="20"/>
              </w:rPr>
            </w:pPr>
          </w:p>
        </w:tc>
        <w:tc>
          <w:tcPr>
            <w:tcW w:w="1142" w:type="dxa"/>
            <w:tcBorders>
              <w:top w:val="nil"/>
              <w:bottom w:val="nil"/>
              <w:right w:val="nil"/>
            </w:tcBorders>
            <w:vAlign w:val="bottom"/>
          </w:tcPr>
          <w:p w14:paraId="0EC2AFB1" w14:textId="77777777" w:rsidR="006711E1" w:rsidRPr="0055420F" w:rsidRDefault="006711E1" w:rsidP="009F2C15">
            <w:pPr>
              <w:jc w:val="center"/>
              <w:rPr>
                <w:rFonts w:cs="Calibri"/>
                <w:color w:val="000000"/>
                <w:sz w:val="20"/>
                <w:szCs w:val="20"/>
              </w:rPr>
            </w:pPr>
          </w:p>
        </w:tc>
        <w:tc>
          <w:tcPr>
            <w:tcW w:w="1113" w:type="dxa"/>
            <w:tcBorders>
              <w:top w:val="nil"/>
              <w:left w:val="nil"/>
              <w:bottom w:val="nil"/>
              <w:right w:val="nil"/>
            </w:tcBorders>
            <w:vAlign w:val="bottom"/>
          </w:tcPr>
          <w:p w14:paraId="5DDADEFC" w14:textId="77777777" w:rsidR="006711E1" w:rsidRPr="0055420F" w:rsidRDefault="006711E1" w:rsidP="009F2C15">
            <w:pPr>
              <w:jc w:val="center"/>
              <w:rPr>
                <w:rFonts w:cs="Calibri"/>
                <w:color w:val="000000"/>
                <w:sz w:val="20"/>
                <w:szCs w:val="20"/>
              </w:rPr>
            </w:pPr>
          </w:p>
        </w:tc>
        <w:tc>
          <w:tcPr>
            <w:tcW w:w="1347" w:type="dxa"/>
            <w:tcBorders>
              <w:top w:val="nil"/>
              <w:left w:val="nil"/>
              <w:bottom w:val="nil"/>
            </w:tcBorders>
            <w:vAlign w:val="bottom"/>
          </w:tcPr>
          <w:p w14:paraId="30A9408A" w14:textId="77777777" w:rsidR="006711E1" w:rsidRPr="0055420F" w:rsidRDefault="006711E1" w:rsidP="009F2C15">
            <w:pPr>
              <w:jc w:val="center"/>
              <w:rPr>
                <w:rFonts w:cs="Calibri"/>
                <w:color w:val="000000"/>
                <w:sz w:val="20"/>
                <w:szCs w:val="20"/>
              </w:rPr>
            </w:pPr>
          </w:p>
        </w:tc>
      </w:tr>
      <w:tr w:rsidR="006711E1" w:rsidRPr="00AB496F" w14:paraId="1475870C" w14:textId="77777777" w:rsidTr="00CE237D">
        <w:trPr>
          <w:jc w:val="center"/>
        </w:trPr>
        <w:tc>
          <w:tcPr>
            <w:tcW w:w="3093" w:type="dxa"/>
            <w:tcBorders>
              <w:top w:val="nil"/>
              <w:bottom w:val="nil"/>
            </w:tcBorders>
            <w:vAlign w:val="bottom"/>
          </w:tcPr>
          <w:p w14:paraId="58E3D4C2" w14:textId="77777777" w:rsidR="006711E1" w:rsidRPr="0055420F" w:rsidRDefault="006711E1" w:rsidP="009F2C15">
            <w:pPr>
              <w:rPr>
                <w:rFonts w:cs="Calibri"/>
                <w:color w:val="000000"/>
                <w:sz w:val="20"/>
                <w:szCs w:val="20"/>
              </w:rPr>
            </w:pPr>
            <w:r w:rsidRPr="0055420F">
              <w:rPr>
                <w:rFonts w:cs="Calibri"/>
                <w:color w:val="000000"/>
                <w:sz w:val="20"/>
                <w:szCs w:val="20"/>
              </w:rPr>
              <w:t>∆(Price)</w:t>
            </w:r>
          </w:p>
        </w:tc>
        <w:tc>
          <w:tcPr>
            <w:tcW w:w="1142" w:type="dxa"/>
            <w:tcBorders>
              <w:top w:val="nil"/>
              <w:bottom w:val="nil"/>
              <w:right w:val="nil"/>
            </w:tcBorders>
            <w:vAlign w:val="bottom"/>
          </w:tcPr>
          <w:p w14:paraId="3765FCD4" w14:textId="77777777" w:rsidR="006711E1" w:rsidRPr="0055420F" w:rsidRDefault="006711E1" w:rsidP="009F2C15">
            <w:pPr>
              <w:jc w:val="center"/>
              <w:rPr>
                <w:rFonts w:cs="Calibri"/>
                <w:color w:val="000000"/>
                <w:sz w:val="20"/>
                <w:szCs w:val="20"/>
              </w:rPr>
            </w:pPr>
            <w:r w:rsidRPr="0055420F">
              <w:rPr>
                <w:rFonts w:cs="Calibri"/>
                <w:color w:val="000000"/>
                <w:sz w:val="20"/>
                <w:szCs w:val="20"/>
              </w:rPr>
              <w:t>-0.1039***</w:t>
            </w:r>
          </w:p>
        </w:tc>
        <w:tc>
          <w:tcPr>
            <w:tcW w:w="1113" w:type="dxa"/>
            <w:tcBorders>
              <w:top w:val="nil"/>
              <w:left w:val="nil"/>
              <w:bottom w:val="nil"/>
              <w:right w:val="nil"/>
            </w:tcBorders>
            <w:vAlign w:val="bottom"/>
          </w:tcPr>
          <w:p w14:paraId="5EA12F80" w14:textId="77777777" w:rsidR="006711E1" w:rsidRPr="0055420F" w:rsidRDefault="006711E1" w:rsidP="009F2C15">
            <w:pPr>
              <w:jc w:val="center"/>
              <w:rPr>
                <w:rFonts w:cs="Calibri"/>
                <w:color w:val="000000"/>
                <w:sz w:val="20"/>
                <w:szCs w:val="20"/>
              </w:rPr>
            </w:pPr>
            <w:r w:rsidRPr="0055420F">
              <w:rPr>
                <w:rFonts w:cs="Calibri"/>
                <w:color w:val="000000"/>
                <w:sz w:val="20"/>
                <w:szCs w:val="20"/>
              </w:rPr>
              <w:t>-0.0700</w:t>
            </w:r>
          </w:p>
        </w:tc>
        <w:tc>
          <w:tcPr>
            <w:tcW w:w="1347" w:type="dxa"/>
            <w:tcBorders>
              <w:top w:val="nil"/>
              <w:left w:val="nil"/>
              <w:bottom w:val="nil"/>
            </w:tcBorders>
            <w:vAlign w:val="bottom"/>
          </w:tcPr>
          <w:p w14:paraId="68A81D36" w14:textId="77777777" w:rsidR="006711E1" w:rsidRPr="0055420F" w:rsidRDefault="006711E1" w:rsidP="009F2C15">
            <w:pPr>
              <w:jc w:val="center"/>
              <w:rPr>
                <w:rFonts w:cs="Calibri"/>
                <w:color w:val="000000"/>
                <w:sz w:val="20"/>
                <w:szCs w:val="20"/>
              </w:rPr>
            </w:pPr>
            <w:r w:rsidRPr="0055420F">
              <w:rPr>
                <w:rFonts w:cs="Calibri"/>
                <w:color w:val="000000"/>
                <w:sz w:val="20"/>
                <w:szCs w:val="20"/>
              </w:rPr>
              <w:t>0.1359</w:t>
            </w:r>
          </w:p>
        </w:tc>
      </w:tr>
      <w:tr w:rsidR="006711E1" w:rsidRPr="00AB496F" w14:paraId="75F4917E" w14:textId="77777777" w:rsidTr="00CE237D">
        <w:trPr>
          <w:jc w:val="center"/>
        </w:trPr>
        <w:tc>
          <w:tcPr>
            <w:tcW w:w="3093" w:type="dxa"/>
            <w:tcBorders>
              <w:top w:val="nil"/>
              <w:bottom w:val="nil"/>
            </w:tcBorders>
            <w:vAlign w:val="bottom"/>
          </w:tcPr>
          <w:p w14:paraId="7BCA9672" w14:textId="77777777" w:rsidR="006711E1" w:rsidRPr="0055420F" w:rsidRDefault="006711E1" w:rsidP="009F2C15">
            <w:pPr>
              <w:rPr>
                <w:rFonts w:cs="Calibri"/>
                <w:color w:val="000000"/>
                <w:sz w:val="20"/>
                <w:szCs w:val="20"/>
              </w:rPr>
            </w:pPr>
            <w:r w:rsidRPr="0055420F">
              <w:rPr>
                <w:rFonts w:cs="Calibri"/>
                <w:color w:val="000000"/>
                <w:sz w:val="20"/>
                <w:szCs w:val="20"/>
              </w:rPr>
              <w:t>Effective Spread</w:t>
            </w:r>
          </w:p>
        </w:tc>
        <w:tc>
          <w:tcPr>
            <w:tcW w:w="1142" w:type="dxa"/>
            <w:tcBorders>
              <w:top w:val="nil"/>
              <w:bottom w:val="nil"/>
              <w:right w:val="nil"/>
            </w:tcBorders>
            <w:vAlign w:val="bottom"/>
          </w:tcPr>
          <w:p w14:paraId="25FA915F" w14:textId="77777777" w:rsidR="006711E1" w:rsidRPr="0055420F" w:rsidRDefault="006711E1" w:rsidP="009F2C15">
            <w:pPr>
              <w:jc w:val="center"/>
              <w:rPr>
                <w:rFonts w:cs="Calibri"/>
                <w:color w:val="000000"/>
                <w:sz w:val="20"/>
                <w:szCs w:val="20"/>
              </w:rPr>
            </w:pPr>
            <w:r w:rsidRPr="0055420F">
              <w:rPr>
                <w:rFonts w:cs="Calibri"/>
                <w:color w:val="000000"/>
                <w:sz w:val="20"/>
                <w:szCs w:val="20"/>
              </w:rPr>
              <w:t>1.3676</w:t>
            </w:r>
          </w:p>
        </w:tc>
        <w:tc>
          <w:tcPr>
            <w:tcW w:w="1113" w:type="dxa"/>
            <w:tcBorders>
              <w:top w:val="nil"/>
              <w:left w:val="nil"/>
              <w:bottom w:val="nil"/>
              <w:right w:val="nil"/>
            </w:tcBorders>
            <w:vAlign w:val="bottom"/>
          </w:tcPr>
          <w:p w14:paraId="18A7AA07" w14:textId="77777777" w:rsidR="006711E1" w:rsidRPr="0055420F" w:rsidRDefault="006711E1" w:rsidP="009F2C15">
            <w:pPr>
              <w:jc w:val="center"/>
              <w:rPr>
                <w:rFonts w:cs="Calibri"/>
                <w:color w:val="000000"/>
                <w:sz w:val="20"/>
                <w:szCs w:val="20"/>
              </w:rPr>
            </w:pPr>
            <w:r w:rsidRPr="0055420F">
              <w:rPr>
                <w:rFonts w:cs="Calibri"/>
                <w:color w:val="000000"/>
                <w:sz w:val="20"/>
                <w:szCs w:val="20"/>
              </w:rPr>
              <w:t>1.3772</w:t>
            </w:r>
          </w:p>
        </w:tc>
        <w:tc>
          <w:tcPr>
            <w:tcW w:w="1347" w:type="dxa"/>
            <w:tcBorders>
              <w:top w:val="nil"/>
              <w:left w:val="nil"/>
              <w:bottom w:val="nil"/>
            </w:tcBorders>
            <w:vAlign w:val="bottom"/>
          </w:tcPr>
          <w:p w14:paraId="73329114" w14:textId="77777777" w:rsidR="006711E1" w:rsidRPr="0055420F" w:rsidRDefault="006711E1" w:rsidP="009F2C15">
            <w:pPr>
              <w:jc w:val="center"/>
              <w:rPr>
                <w:rFonts w:cs="Calibri"/>
                <w:color w:val="000000"/>
                <w:sz w:val="20"/>
                <w:szCs w:val="20"/>
              </w:rPr>
            </w:pPr>
            <w:r w:rsidRPr="0055420F">
              <w:rPr>
                <w:rFonts w:cs="Calibri"/>
                <w:color w:val="000000"/>
                <w:sz w:val="20"/>
                <w:szCs w:val="20"/>
              </w:rPr>
              <w:t>0.1043</w:t>
            </w:r>
          </w:p>
        </w:tc>
      </w:tr>
      <w:tr w:rsidR="006711E1" w:rsidRPr="00AB496F" w14:paraId="2B36D15A" w14:textId="77777777" w:rsidTr="00CE237D">
        <w:trPr>
          <w:jc w:val="center"/>
        </w:trPr>
        <w:tc>
          <w:tcPr>
            <w:tcW w:w="3093" w:type="dxa"/>
            <w:tcBorders>
              <w:top w:val="nil"/>
              <w:bottom w:val="nil"/>
            </w:tcBorders>
            <w:vAlign w:val="bottom"/>
          </w:tcPr>
          <w:p w14:paraId="427E77E6" w14:textId="77777777" w:rsidR="006711E1" w:rsidRPr="0055420F" w:rsidRDefault="006711E1" w:rsidP="009F2C15">
            <w:pPr>
              <w:rPr>
                <w:rFonts w:cs="Calibri"/>
                <w:color w:val="000000"/>
                <w:sz w:val="20"/>
                <w:szCs w:val="20"/>
              </w:rPr>
            </w:pPr>
            <w:r w:rsidRPr="0055420F">
              <w:rPr>
                <w:rFonts w:cs="Calibri"/>
                <w:color w:val="000000"/>
                <w:sz w:val="20"/>
                <w:szCs w:val="20"/>
              </w:rPr>
              <w:t>Volume</w:t>
            </w:r>
          </w:p>
        </w:tc>
        <w:tc>
          <w:tcPr>
            <w:tcW w:w="1142" w:type="dxa"/>
            <w:tcBorders>
              <w:top w:val="nil"/>
              <w:bottom w:val="nil"/>
              <w:right w:val="nil"/>
            </w:tcBorders>
            <w:vAlign w:val="bottom"/>
          </w:tcPr>
          <w:p w14:paraId="08CA8667" w14:textId="77777777" w:rsidR="006711E1" w:rsidRPr="0055420F" w:rsidRDefault="006711E1" w:rsidP="009F2C15">
            <w:pPr>
              <w:jc w:val="center"/>
              <w:rPr>
                <w:rFonts w:cs="Calibri"/>
                <w:color w:val="000000"/>
                <w:sz w:val="20"/>
                <w:szCs w:val="20"/>
              </w:rPr>
            </w:pPr>
            <w:r w:rsidRPr="0055420F">
              <w:rPr>
                <w:rFonts w:cs="Calibri"/>
                <w:color w:val="000000"/>
                <w:sz w:val="20"/>
                <w:szCs w:val="20"/>
              </w:rPr>
              <w:t>4,395***</w:t>
            </w:r>
          </w:p>
        </w:tc>
        <w:tc>
          <w:tcPr>
            <w:tcW w:w="1113" w:type="dxa"/>
            <w:tcBorders>
              <w:top w:val="nil"/>
              <w:left w:val="nil"/>
              <w:bottom w:val="nil"/>
              <w:right w:val="nil"/>
            </w:tcBorders>
            <w:vAlign w:val="bottom"/>
          </w:tcPr>
          <w:p w14:paraId="5C92DAB5" w14:textId="77777777" w:rsidR="006711E1" w:rsidRPr="0055420F" w:rsidRDefault="006711E1" w:rsidP="009F2C15">
            <w:pPr>
              <w:jc w:val="center"/>
              <w:rPr>
                <w:rFonts w:cs="Calibri"/>
                <w:color w:val="000000"/>
                <w:sz w:val="20"/>
                <w:szCs w:val="20"/>
              </w:rPr>
            </w:pPr>
            <w:r w:rsidRPr="0055420F">
              <w:rPr>
                <w:rFonts w:cs="Calibri"/>
                <w:color w:val="000000"/>
                <w:sz w:val="20"/>
                <w:szCs w:val="20"/>
              </w:rPr>
              <w:t>4,162</w:t>
            </w:r>
          </w:p>
        </w:tc>
        <w:tc>
          <w:tcPr>
            <w:tcW w:w="1347" w:type="dxa"/>
            <w:tcBorders>
              <w:top w:val="nil"/>
              <w:left w:val="nil"/>
              <w:bottom w:val="nil"/>
            </w:tcBorders>
            <w:vAlign w:val="bottom"/>
          </w:tcPr>
          <w:p w14:paraId="08DD41ED" w14:textId="77777777" w:rsidR="006711E1" w:rsidRPr="0055420F" w:rsidRDefault="006711E1" w:rsidP="009F2C15">
            <w:pPr>
              <w:jc w:val="center"/>
              <w:rPr>
                <w:rFonts w:cs="Calibri"/>
                <w:color w:val="000000"/>
                <w:sz w:val="20"/>
                <w:szCs w:val="20"/>
              </w:rPr>
            </w:pPr>
            <w:r w:rsidRPr="0055420F">
              <w:rPr>
                <w:rFonts w:cs="Calibri"/>
                <w:color w:val="000000"/>
                <w:sz w:val="20"/>
                <w:szCs w:val="20"/>
              </w:rPr>
              <w:t>1,550</w:t>
            </w:r>
          </w:p>
        </w:tc>
      </w:tr>
      <w:tr w:rsidR="006711E1" w:rsidRPr="00AB496F" w14:paraId="25844BE7" w14:textId="77777777" w:rsidTr="00CE237D">
        <w:trPr>
          <w:jc w:val="center"/>
        </w:trPr>
        <w:tc>
          <w:tcPr>
            <w:tcW w:w="3093" w:type="dxa"/>
            <w:tcBorders>
              <w:top w:val="nil"/>
              <w:bottom w:val="nil"/>
            </w:tcBorders>
            <w:vAlign w:val="bottom"/>
          </w:tcPr>
          <w:p w14:paraId="710A42A2" w14:textId="77777777" w:rsidR="006711E1" w:rsidRPr="0055420F" w:rsidRDefault="006711E1" w:rsidP="009F2C15">
            <w:pPr>
              <w:rPr>
                <w:rFonts w:cs="Calibri"/>
                <w:color w:val="000000"/>
                <w:sz w:val="20"/>
                <w:szCs w:val="20"/>
              </w:rPr>
            </w:pPr>
            <w:r w:rsidRPr="0055420F">
              <w:rPr>
                <w:rFonts w:cs="Calibri"/>
                <w:color w:val="000000"/>
                <w:sz w:val="20"/>
                <w:szCs w:val="20"/>
              </w:rPr>
              <w:t>Trade Imbalance</w:t>
            </w:r>
          </w:p>
        </w:tc>
        <w:tc>
          <w:tcPr>
            <w:tcW w:w="1142" w:type="dxa"/>
            <w:tcBorders>
              <w:top w:val="nil"/>
              <w:bottom w:val="nil"/>
              <w:right w:val="nil"/>
            </w:tcBorders>
            <w:vAlign w:val="bottom"/>
          </w:tcPr>
          <w:p w14:paraId="31AB31FF" w14:textId="77777777" w:rsidR="006711E1" w:rsidRPr="0055420F" w:rsidRDefault="006711E1" w:rsidP="009F2C15">
            <w:pPr>
              <w:jc w:val="center"/>
              <w:rPr>
                <w:rFonts w:cs="Calibri"/>
                <w:color w:val="000000"/>
                <w:sz w:val="20"/>
                <w:szCs w:val="20"/>
              </w:rPr>
            </w:pPr>
            <w:r w:rsidRPr="0055420F">
              <w:rPr>
                <w:rFonts w:cs="Calibri"/>
                <w:color w:val="000000"/>
                <w:sz w:val="20"/>
                <w:szCs w:val="20"/>
              </w:rPr>
              <w:t>0.0105***</w:t>
            </w:r>
          </w:p>
        </w:tc>
        <w:tc>
          <w:tcPr>
            <w:tcW w:w="1113" w:type="dxa"/>
            <w:tcBorders>
              <w:top w:val="nil"/>
              <w:left w:val="nil"/>
              <w:bottom w:val="nil"/>
              <w:right w:val="nil"/>
            </w:tcBorders>
            <w:vAlign w:val="bottom"/>
          </w:tcPr>
          <w:p w14:paraId="0FA9C1E8" w14:textId="77777777" w:rsidR="006711E1" w:rsidRPr="0055420F" w:rsidRDefault="006711E1" w:rsidP="009F2C15">
            <w:pPr>
              <w:jc w:val="center"/>
              <w:rPr>
                <w:rFonts w:cs="Calibri"/>
                <w:color w:val="000000"/>
                <w:sz w:val="20"/>
                <w:szCs w:val="20"/>
              </w:rPr>
            </w:pPr>
            <w:r w:rsidRPr="0055420F">
              <w:rPr>
                <w:rFonts w:cs="Calibri"/>
                <w:color w:val="000000"/>
                <w:sz w:val="20"/>
                <w:szCs w:val="20"/>
              </w:rPr>
              <w:t>0.0098</w:t>
            </w:r>
          </w:p>
        </w:tc>
        <w:tc>
          <w:tcPr>
            <w:tcW w:w="1347" w:type="dxa"/>
            <w:tcBorders>
              <w:top w:val="nil"/>
              <w:left w:val="nil"/>
              <w:bottom w:val="nil"/>
            </w:tcBorders>
            <w:vAlign w:val="bottom"/>
          </w:tcPr>
          <w:p w14:paraId="7E809295" w14:textId="77777777" w:rsidR="006711E1" w:rsidRPr="0055420F" w:rsidRDefault="006711E1" w:rsidP="009F2C15">
            <w:pPr>
              <w:jc w:val="center"/>
              <w:rPr>
                <w:rFonts w:cs="Calibri"/>
                <w:color w:val="000000"/>
                <w:sz w:val="20"/>
                <w:szCs w:val="20"/>
              </w:rPr>
            </w:pPr>
            <w:r w:rsidRPr="0055420F">
              <w:rPr>
                <w:rFonts w:cs="Calibri"/>
                <w:color w:val="000000"/>
                <w:sz w:val="20"/>
                <w:szCs w:val="20"/>
              </w:rPr>
              <w:t>0.0042</w:t>
            </w:r>
          </w:p>
        </w:tc>
      </w:tr>
      <w:tr w:rsidR="006711E1" w:rsidRPr="00AB496F" w14:paraId="7550423A" w14:textId="77777777" w:rsidTr="00CE237D">
        <w:trPr>
          <w:jc w:val="center"/>
        </w:trPr>
        <w:tc>
          <w:tcPr>
            <w:tcW w:w="3093" w:type="dxa"/>
            <w:tcBorders>
              <w:top w:val="nil"/>
              <w:bottom w:val="nil"/>
            </w:tcBorders>
            <w:vAlign w:val="bottom"/>
          </w:tcPr>
          <w:p w14:paraId="5F609470" w14:textId="77777777" w:rsidR="006711E1" w:rsidRPr="0055420F" w:rsidRDefault="006711E1" w:rsidP="009F2C15">
            <w:pPr>
              <w:rPr>
                <w:rFonts w:cs="Calibri"/>
                <w:color w:val="000000"/>
                <w:sz w:val="20"/>
                <w:szCs w:val="20"/>
              </w:rPr>
            </w:pPr>
            <w:r w:rsidRPr="0055420F">
              <w:rPr>
                <w:rFonts w:cs="Calibri"/>
                <w:color w:val="000000"/>
                <w:sz w:val="20"/>
                <w:szCs w:val="20"/>
              </w:rPr>
              <w:t>Herfindahl Index</w:t>
            </w:r>
          </w:p>
        </w:tc>
        <w:tc>
          <w:tcPr>
            <w:tcW w:w="1142" w:type="dxa"/>
            <w:tcBorders>
              <w:top w:val="nil"/>
              <w:bottom w:val="nil"/>
              <w:right w:val="nil"/>
            </w:tcBorders>
            <w:vAlign w:val="bottom"/>
          </w:tcPr>
          <w:p w14:paraId="172B7D62" w14:textId="77777777" w:rsidR="006711E1" w:rsidRPr="0055420F" w:rsidRDefault="006711E1" w:rsidP="009F2C15">
            <w:pPr>
              <w:jc w:val="center"/>
              <w:rPr>
                <w:rFonts w:cs="Calibri"/>
                <w:color w:val="000000"/>
                <w:sz w:val="20"/>
                <w:szCs w:val="20"/>
              </w:rPr>
            </w:pPr>
            <w:r w:rsidRPr="0055420F">
              <w:rPr>
                <w:rFonts w:cs="Calibri"/>
                <w:color w:val="000000"/>
                <w:sz w:val="20"/>
                <w:szCs w:val="20"/>
              </w:rPr>
              <w:t>0.0240***</w:t>
            </w:r>
          </w:p>
        </w:tc>
        <w:tc>
          <w:tcPr>
            <w:tcW w:w="1113" w:type="dxa"/>
            <w:tcBorders>
              <w:top w:val="nil"/>
              <w:left w:val="nil"/>
              <w:bottom w:val="nil"/>
              <w:right w:val="nil"/>
            </w:tcBorders>
            <w:vAlign w:val="bottom"/>
          </w:tcPr>
          <w:p w14:paraId="7A75D344" w14:textId="77777777" w:rsidR="006711E1" w:rsidRPr="0055420F" w:rsidRDefault="006711E1" w:rsidP="009F2C15">
            <w:pPr>
              <w:jc w:val="center"/>
              <w:rPr>
                <w:rFonts w:cs="Calibri"/>
                <w:color w:val="000000"/>
                <w:sz w:val="20"/>
                <w:szCs w:val="20"/>
              </w:rPr>
            </w:pPr>
            <w:r w:rsidRPr="0055420F">
              <w:rPr>
                <w:rFonts w:cs="Calibri"/>
                <w:color w:val="000000"/>
                <w:sz w:val="20"/>
                <w:szCs w:val="20"/>
              </w:rPr>
              <w:t>0.0231</w:t>
            </w:r>
          </w:p>
        </w:tc>
        <w:tc>
          <w:tcPr>
            <w:tcW w:w="1347" w:type="dxa"/>
            <w:tcBorders>
              <w:top w:val="nil"/>
              <w:left w:val="nil"/>
              <w:bottom w:val="nil"/>
            </w:tcBorders>
            <w:vAlign w:val="bottom"/>
          </w:tcPr>
          <w:p w14:paraId="1536E086" w14:textId="77777777" w:rsidR="006711E1" w:rsidRPr="0055420F" w:rsidRDefault="006711E1" w:rsidP="009F2C15">
            <w:pPr>
              <w:jc w:val="center"/>
              <w:rPr>
                <w:rFonts w:cs="Calibri"/>
                <w:color w:val="000000"/>
                <w:sz w:val="20"/>
                <w:szCs w:val="20"/>
              </w:rPr>
            </w:pPr>
            <w:r w:rsidRPr="0055420F">
              <w:rPr>
                <w:rFonts w:cs="Calibri"/>
                <w:color w:val="000000"/>
                <w:sz w:val="20"/>
                <w:szCs w:val="20"/>
              </w:rPr>
              <w:t>0.0040</w:t>
            </w:r>
          </w:p>
        </w:tc>
      </w:tr>
      <w:tr w:rsidR="006711E1" w:rsidRPr="00AB496F" w14:paraId="3ADA15E2" w14:textId="77777777" w:rsidTr="00CE237D">
        <w:trPr>
          <w:jc w:val="center"/>
        </w:trPr>
        <w:tc>
          <w:tcPr>
            <w:tcW w:w="3093" w:type="dxa"/>
            <w:tcBorders>
              <w:top w:val="nil"/>
              <w:bottom w:val="nil"/>
            </w:tcBorders>
            <w:vAlign w:val="bottom"/>
          </w:tcPr>
          <w:p w14:paraId="2309AB33" w14:textId="77777777" w:rsidR="006711E1" w:rsidRPr="0055420F" w:rsidRDefault="006711E1" w:rsidP="009F2C15">
            <w:pPr>
              <w:rPr>
                <w:rFonts w:cs="Calibri"/>
                <w:color w:val="000000"/>
                <w:sz w:val="20"/>
                <w:szCs w:val="20"/>
              </w:rPr>
            </w:pPr>
            <w:r w:rsidRPr="0055420F">
              <w:rPr>
                <w:rFonts w:cs="Calibri"/>
                <w:color w:val="000000"/>
                <w:sz w:val="20"/>
                <w:szCs w:val="20"/>
              </w:rPr>
              <w:t>Signed Volume</w:t>
            </w:r>
          </w:p>
        </w:tc>
        <w:tc>
          <w:tcPr>
            <w:tcW w:w="1142" w:type="dxa"/>
            <w:tcBorders>
              <w:top w:val="nil"/>
              <w:bottom w:val="nil"/>
              <w:right w:val="nil"/>
            </w:tcBorders>
            <w:vAlign w:val="bottom"/>
          </w:tcPr>
          <w:p w14:paraId="44F98E61" w14:textId="77777777" w:rsidR="006711E1" w:rsidRPr="0055420F" w:rsidRDefault="006711E1" w:rsidP="009F2C15">
            <w:pPr>
              <w:jc w:val="center"/>
              <w:rPr>
                <w:rFonts w:cs="Calibri"/>
                <w:color w:val="000000"/>
                <w:sz w:val="20"/>
                <w:szCs w:val="20"/>
              </w:rPr>
            </w:pPr>
            <w:r w:rsidRPr="0055420F">
              <w:rPr>
                <w:rFonts w:cs="Calibri"/>
                <w:color w:val="000000"/>
                <w:sz w:val="20"/>
                <w:szCs w:val="20"/>
              </w:rPr>
              <w:t>-2,578***</w:t>
            </w:r>
          </w:p>
        </w:tc>
        <w:tc>
          <w:tcPr>
            <w:tcW w:w="1113" w:type="dxa"/>
            <w:tcBorders>
              <w:top w:val="nil"/>
              <w:left w:val="nil"/>
              <w:bottom w:val="nil"/>
              <w:right w:val="nil"/>
            </w:tcBorders>
            <w:vAlign w:val="bottom"/>
          </w:tcPr>
          <w:p w14:paraId="34D80AB0" w14:textId="77777777" w:rsidR="006711E1" w:rsidRPr="0055420F" w:rsidRDefault="006711E1" w:rsidP="009F2C15">
            <w:pPr>
              <w:jc w:val="center"/>
              <w:rPr>
                <w:rFonts w:cs="Calibri"/>
                <w:color w:val="000000"/>
                <w:sz w:val="20"/>
                <w:szCs w:val="20"/>
              </w:rPr>
            </w:pPr>
            <w:r w:rsidRPr="0055420F">
              <w:rPr>
                <w:rFonts w:cs="Calibri"/>
                <w:color w:val="000000"/>
                <w:sz w:val="20"/>
                <w:szCs w:val="20"/>
              </w:rPr>
              <w:t>-2,279</w:t>
            </w:r>
          </w:p>
        </w:tc>
        <w:tc>
          <w:tcPr>
            <w:tcW w:w="1347" w:type="dxa"/>
            <w:tcBorders>
              <w:top w:val="nil"/>
              <w:left w:val="nil"/>
              <w:bottom w:val="nil"/>
            </w:tcBorders>
            <w:vAlign w:val="bottom"/>
          </w:tcPr>
          <w:p w14:paraId="5F1EC78B" w14:textId="77777777" w:rsidR="006711E1" w:rsidRPr="0055420F" w:rsidRDefault="006711E1" w:rsidP="009F2C15">
            <w:pPr>
              <w:jc w:val="center"/>
              <w:rPr>
                <w:rFonts w:cs="Calibri"/>
                <w:color w:val="000000"/>
                <w:sz w:val="20"/>
                <w:szCs w:val="20"/>
              </w:rPr>
            </w:pPr>
            <w:r w:rsidRPr="0055420F">
              <w:rPr>
                <w:rFonts w:cs="Calibri"/>
                <w:color w:val="000000"/>
                <w:sz w:val="20"/>
                <w:szCs w:val="20"/>
              </w:rPr>
              <w:t>1,464</w:t>
            </w:r>
          </w:p>
        </w:tc>
      </w:tr>
      <w:tr w:rsidR="006711E1" w:rsidRPr="00AB496F" w14:paraId="7AE884F9" w14:textId="77777777" w:rsidTr="00CE237D">
        <w:trPr>
          <w:jc w:val="center"/>
        </w:trPr>
        <w:tc>
          <w:tcPr>
            <w:tcW w:w="3093" w:type="dxa"/>
            <w:tcBorders>
              <w:top w:val="nil"/>
            </w:tcBorders>
            <w:vAlign w:val="bottom"/>
          </w:tcPr>
          <w:p w14:paraId="5B8658A4" w14:textId="77777777" w:rsidR="006711E1" w:rsidRPr="00AB496F" w:rsidRDefault="006711E1" w:rsidP="009F2C15">
            <w:pPr>
              <w:rPr>
                <w:rFonts w:cs="Calibri"/>
                <w:color w:val="000000"/>
                <w:sz w:val="18"/>
                <w:szCs w:val="18"/>
              </w:rPr>
            </w:pPr>
          </w:p>
        </w:tc>
        <w:tc>
          <w:tcPr>
            <w:tcW w:w="1142" w:type="dxa"/>
            <w:tcBorders>
              <w:top w:val="nil"/>
              <w:right w:val="nil"/>
            </w:tcBorders>
            <w:vAlign w:val="bottom"/>
          </w:tcPr>
          <w:p w14:paraId="4C0367BD" w14:textId="77777777" w:rsidR="006711E1" w:rsidRPr="00AB496F" w:rsidRDefault="006711E1" w:rsidP="009F2C15">
            <w:pPr>
              <w:jc w:val="center"/>
              <w:rPr>
                <w:rFonts w:cs="Calibri"/>
                <w:color w:val="000000"/>
                <w:sz w:val="18"/>
                <w:szCs w:val="18"/>
              </w:rPr>
            </w:pPr>
          </w:p>
        </w:tc>
        <w:tc>
          <w:tcPr>
            <w:tcW w:w="1113" w:type="dxa"/>
            <w:tcBorders>
              <w:top w:val="nil"/>
              <w:left w:val="nil"/>
              <w:right w:val="nil"/>
            </w:tcBorders>
            <w:vAlign w:val="bottom"/>
          </w:tcPr>
          <w:p w14:paraId="39AFA789" w14:textId="77777777" w:rsidR="006711E1" w:rsidRPr="00AB496F" w:rsidRDefault="006711E1" w:rsidP="009F2C15">
            <w:pPr>
              <w:jc w:val="center"/>
              <w:rPr>
                <w:rFonts w:cs="Calibri"/>
                <w:color w:val="000000"/>
                <w:sz w:val="18"/>
                <w:szCs w:val="18"/>
              </w:rPr>
            </w:pPr>
          </w:p>
        </w:tc>
        <w:tc>
          <w:tcPr>
            <w:tcW w:w="1347" w:type="dxa"/>
            <w:tcBorders>
              <w:top w:val="nil"/>
              <w:left w:val="nil"/>
            </w:tcBorders>
            <w:vAlign w:val="bottom"/>
          </w:tcPr>
          <w:p w14:paraId="22BAFF80" w14:textId="77777777" w:rsidR="006711E1" w:rsidRPr="00AB496F" w:rsidRDefault="006711E1" w:rsidP="009F2C15">
            <w:pPr>
              <w:jc w:val="center"/>
              <w:rPr>
                <w:rFonts w:cs="Calibri"/>
                <w:color w:val="000000"/>
                <w:sz w:val="18"/>
                <w:szCs w:val="18"/>
              </w:rPr>
            </w:pPr>
          </w:p>
        </w:tc>
      </w:tr>
      <w:tr w:rsidR="006711E1" w:rsidRPr="00AB496F" w14:paraId="4ACB48DB" w14:textId="77777777" w:rsidTr="00CE237D">
        <w:trPr>
          <w:jc w:val="center"/>
        </w:trPr>
        <w:tc>
          <w:tcPr>
            <w:tcW w:w="6695" w:type="dxa"/>
            <w:gridSpan w:val="4"/>
          </w:tcPr>
          <w:p w14:paraId="45423C7E" w14:textId="77777777" w:rsidR="006711E1" w:rsidRDefault="006711E1" w:rsidP="009F2C15">
            <w:pPr>
              <w:rPr>
                <w:sz w:val="18"/>
                <w:szCs w:val="18"/>
              </w:rPr>
            </w:pPr>
          </w:p>
          <w:p w14:paraId="5FCAA83D" w14:textId="28BED56F" w:rsidR="00FB61F3" w:rsidRDefault="00FB61F3" w:rsidP="00FB61F3">
            <w:pPr>
              <w:jc w:val="both"/>
              <w:rPr>
                <w:sz w:val="18"/>
                <w:szCs w:val="18"/>
              </w:rPr>
            </w:pPr>
            <w:r w:rsidRPr="00FB61F3">
              <w:rPr>
                <w:sz w:val="18"/>
                <w:szCs w:val="18"/>
              </w:rPr>
              <w:t>Trade imbalance is computed as the difference between number of buys and number of sells, normalized by volume.</w:t>
            </w:r>
            <w:r>
              <w:rPr>
                <w:sz w:val="18"/>
                <w:szCs w:val="18"/>
              </w:rPr>
              <w:t xml:space="preserve"> </w:t>
            </w:r>
            <w:r w:rsidRPr="00FB61F3">
              <w:rPr>
                <w:sz w:val="18"/>
                <w:szCs w:val="18"/>
              </w:rPr>
              <w:t>Signed volume is computed as the difference between aggressive buy volume and aggressive sell volume.</w:t>
            </w:r>
          </w:p>
          <w:p w14:paraId="36AEE43A" w14:textId="2315C93E" w:rsidR="006711E1" w:rsidRDefault="006711E1" w:rsidP="00CE237D">
            <w:pPr>
              <w:jc w:val="both"/>
              <w:rPr>
                <w:sz w:val="18"/>
                <w:szCs w:val="18"/>
              </w:rPr>
            </w:pPr>
            <w:r>
              <w:rPr>
                <w:sz w:val="18"/>
                <w:szCs w:val="18"/>
              </w:rPr>
              <w:t>*, ** and *** refer to significance levels of 10%, 5% and 1% for testing the mean difference between each sub-period and the pre-crisis period which we use as benchmark. Standard errors are computed using bootstrapping.</w:t>
            </w:r>
          </w:p>
          <w:p w14:paraId="6E764894" w14:textId="77777777" w:rsidR="006711E1" w:rsidRPr="00AB496F" w:rsidRDefault="006711E1" w:rsidP="009F2C15">
            <w:pPr>
              <w:rPr>
                <w:sz w:val="18"/>
                <w:szCs w:val="18"/>
              </w:rPr>
            </w:pPr>
          </w:p>
        </w:tc>
      </w:tr>
    </w:tbl>
    <w:p w14:paraId="47D8C1BA" w14:textId="77777777" w:rsidR="006711E1" w:rsidRDefault="006711E1" w:rsidP="006711E1">
      <w:r>
        <w:br w:type="page"/>
      </w:r>
    </w:p>
    <w:p w14:paraId="618CD61C" w14:textId="3576C090" w:rsidR="006711E1" w:rsidRDefault="006711E1" w:rsidP="006711E1"/>
    <w:tbl>
      <w:tblPr>
        <w:tblStyle w:val="TableGrid"/>
        <w:tblW w:w="7111" w:type="dxa"/>
        <w:jc w:val="center"/>
        <w:tblLook w:val="04A0" w:firstRow="1" w:lastRow="0" w:firstColumn="1" w:lastColumn="0" w:noHBand="0" w:noVBand="1"/>
      </w:tblPr>
      <w:tblGrid>
        <w:gridCol w:w="1252"/>
        <w:gridCol w:w="1047"/>
        <w:gridCol w:w="935"/>
        <w:gridCol w:w="913"/>
        <w:gridCol w:w="1174"/>
        <w:gridCol w:w="904"/>
        <w:gridCol w:w="886"/>
      </w:tblGrid>
      <w:tr w:rsidR="000D5945" w14:paraId="5CC932EA" w14:textId="77777777" w:rsidTr="00F154AD">
        <w:trPr>
          <w:jc w:val="center"/>
        </w:trPr>
        <w:tc>
          <w:tcPr>
            <w:tcW w:w="7111" w:type="dxa"/>
            <w:gridSpan w:val="7"/>
            <w:tcBorders>
              <w:top w:val="nil"/>
              <w:left w:val="nil"/>
              <w:bottom w:val="single" w:sz="4" w:space="0" w:color="auto"/>
              <w:right w:val="nil"/>
            </w:tcBorders>
          </w:tcPr>
          <w:p w14:paraId="72FECC55" w14:textId="77777777" w:rsidR="000D5945" w:rsidRDefault="000D5945" w:rsidP="00F154AD">
            <w:r>
              <w:t>Table 3</w:t>
            </w:r>
          </w:p>
          <w:p w14:paraId="33F1C2C1" w14:textId="33A4FB2F" w:rsidR="000D5945" w:rsidRDefault="000D5945" w:rsidP="00F154AD">
            <w:r>
              <w:t xml:space="preserve">Summary Statistics: </w:t>
            </w:r>
            <w:r w:rsidR="00D12887">
              <w:t xml:space="preserve">Monthly </w:t>
            </w:r>
            <w:r>
              <w:t>Network</w:t>
            </w:r>
            <w:r w:rsidR="00D12887">
              <w:t>s</w:t>
            </w:r>
          </w:p>
        </w:tc>
      </w:tr>
      <w:tr w:rsidR="000D5945" w14:paraId="308A4EB2" w14:textId="77777777" w:rsidTr="00F154AD">
        <w:trPr>
          <w:jc w:val="center"/>
        </w:trPr>
        <w:tc>
          <w:tcPr>
            <w:tcW w:w="1252" w:type="dxa"/>
            <w:tcBorders>
              <w:bottom w:val="nil"/>
              <w:right w:val="single" w:sz="4" w:space="0" w:color="auto"/>
            </w:tcBorders>
          </w:tcPr>
          <w:p w14:paraId="2DB31BD1" w14:textId="77777777" w:rsidR="000D5945" w:rsidRDefault="000D5945" w:rsidP="00F154AD"/>
        </w:tc>
        <w:tc>
          <w:tcPr>
            <w:tcW w:w="2895" w:type="dxa"/>
            <w:gridSpan w:val="3"/>
            <w:tcBorders>
              <w:left w:val="single" w:sz="4" w:space="0" w:color="auto"/>
              <w:bottom w:val="nil"/>
            </w:tcBorders>
          </w:tcPr>
          <w:p w14:paraId="4B3EEE7A" w14:textId="77777777" w:rsidR="000D5945" w:rsidRPr="0043487C" w:rsidRDefault="000D5945" w:rsidP="00F154AD">
            <w:pPr>
              <w:jc w:val="center"/>
              <w:rPr>
                <w:sz w:val="18"/>
                <w:szCs w:val="18"/>
              </w:rPr>
            </w:pPr>
            <w:r>
              <w:rPr>
                <w:sz w:val="18"/>
                <w:szCs w:val="18"/>
              </w:rPr>
              <w:t>Correlation</w:t>
            </w:r>
            <w:r w:rsidRPr="0043487C">
              <w:rPr>
                <w:sz w:val="18"/>
                <w:szCs w:val="18"/>
              </w:rPr>
              <w:t xml:space="preserve"> Network</w:t>
            </w:r>
          </w:p>
        </w:tc>
        <w:tc>
          <w:tcPr>
            <w:tcW w:w="2964" w:type="dxa"/>
            <w:gridSpan w:val="3"/>
            <w:tcBorders>
              <w:bottom w:val="nil"/>
            </w:tcBorders>
          </w:tcPr>
          <w:p w14:paraId="484F9816" w14:textId="77777777" w:rsidR="000D5945" w:rsidRPr="0043487C" w:rsidRDefault="000D5945" w:rsidP="00F154AD">
            <w:pPr>
              <w:jc w:val="center"/>
              <w:rPr>
                <w:sz w:val="18"/>
                <w:szCs w:val="18"/>
              </w:rPr>
            </w:pPr>
            <w:r>
              <w:rPr>
                <w:sz w:val="18"/>
                <w:szCs w:val="18"/>
              </w:rPr>
              <w:t>Physical</w:t>
            </w:r>
            <w:r w:rsidRPr="0043487C">
              <w:rPr>
                <w:sz w:val="18"/>
                <w:szCs w:val="18"/>
              </w:rPr>
              <w:t xml:space="preserve"> Network</w:t>
            </w:r>
          </w:p>
        </w:tc>
      </w:tr>
      <w:tr w:rsidR="000D5945" w14:paraId="4F41AC0E" w14:textId="77777777" w:rsidTr="00F154AD">
        <w:trPr>
          <w:jc w:val="center"/>
        </w:trPr>
        <w:tc>
          <w:tcPr>
            <w:tcW w:w="1252" w:type="dxa"/>
            <w:tcBorders>
              <w:top w:val="nil"/>
              <w:bottom w:val="nil"/>
              <w:right w:val="single" w:sz="4" w:space="0" w:color="auto"/>
            </w:tcBorders>
          </w:tcPr>
          <w:p w14:paraId="44F9E02D" w14:textId="77777777" w:rsidR="000D5945" w:rsidRDefault="000D5945" w:rsidP="00F154AD"/>
        </w:tc>
        <w:tc>
          <w:tcPr>
            <w:tcW w:w="2895" w:type="dxa"/>
            <w:gridSpan w:val="3"/>
            <w:tcBorders>
              <w:top w:val="nil"/>
              <w:left w:val="single" w:sz="4" w:space="0" w:color="auto"/>
              <w:bottom w:val="nil"/>
            </w:tcBorders>
          </w:tcPr>
          <w:p w14:paraId="4119EC33" w14:textId="77777777" w:rsidR="000D5945" w:rsidRPr="0043487C" w:rsidRDefault="000D5945" w:rsidP="00F154AD">
            <w:pPr>
              <w:jc w:val="center"/>
              <w:rPr>
                <w:sz w:val="18"/>
                <w:szCs w:val="18"/>
              </w:rPr>
            </w:pPr>
            <w:r w:rsidRPr="0043487C">
              <w:rPr>
                <w:sz w:val="18"/>
                <w:szCs w:val="18"/>
              </w:rPr>
              <w:t>Pre-crisis</w:t>
            </w:r>
          </w:p>
        </w:tc>
        <w:tc>
          <w:tcPr>
            <w:tcW w:w="2964" w:type="dxa"/>
            <w:gridSpan w:val="3"/>
            <w:tcBorders>
              <w:top w:val="nil"/>
              <w:bottom w:val="nil"/>
            </w:tcBorders>
          </w:tcPr>
          <w:p w14:paraId="1A872FCE" w14:textId="77777777" w:rsidR="000D5945" w:rsidRPr="0043487C" w:rsidRDefault="000D5945" w:rsidP="00F154AD">
            <w:pPr>
              <w:jc w:val="center"/>
              <w:rPr>
                <w:sz w:val="18"/>
                <w:szCs w:val="18"/>
              </w:rPr>
            </w:pPr>
            <w:r w:rsidRPr="0043487C">
              <w:rPr>
                <w:sz w:val="18"/>
                <w:szCs w:val="18"/>
              </w:rPr>
              <w:t>Pre-crisis</w:t>
            </w:r>
          </w:p>
        </w:tc>
      </w:tr>
      <w:tr w:rsidR="000D5945" w14:paraId="64FB2C38" w14:textId="77777777" w:rsidTr="00F154AD">
        <w:trPr>
          <w:jc w:val="center"/>
        </w:trPr>
        <w:tc>
          <w:tcPr>
            <w:tcW w:w="1252" w:type="dxa"/>
            <w:tcBorders>
              <w:top w:val="nil"/>
              <w:bottom w:val="nil"/>
              <w:right w:val="single" w:sz="4" w:space="0" w:color="auto"/>
            </w:tcBorders>
          </w:tcPr>
          <w:p w14:paraId="25727419" w14:textId="77777777" w:rsidR="000D5945" w:rsidRDefault="000D5945" w:rsidP="00F154AD"/>
        </w:tc>
        <w:tc>
          <w:tcPr>
            <w:tcW w:w="2895" w:type="dxa"/>
            <w:gridSpan w:val="3"/>
            <w:tcBorders>
              <w:top w:val="nil"/>
              <w:left w:val="single" w:sz="4" w:space="0" w:color="auto"/>
              <w:bottom w:val="nil"/>
            </w:tcBorders>
          </w:tcPr>
          <w:p w14:paraId="32DCA2D9" w14:textId="77777777" w:rsidR="000D5945" w:rsidRPr="0043487C" w:rsidRDefault="000D5945" w:rsidP="00F154AD">
            <w:pPr>
              <w:jc w:val="center"/>
              <w:rPr>
                <w:sz w:val="18"/>
                <w:szCs w:val="18"/>
              </w:rPr>
            </w:pPr>
            <w:r>
              <w:rPr>
                <w:sz w:val="18"/>
                <w:szCs w:val="18"/>
              </w:rPr>
              <w:t>2-Jan-06 -</w:t>
            </w:r>
            <w:r w:rsidRPr="001A1587">
              <w:rPr>
                <w:sz w:val="18"/>
                <w:szCs w:val="18"/>
              </w:rPr>
              <w:t xml:space="preserve"> 8-Aug-07</w:t>
            </w:r>
          </w:p>
        </w:tc>
        <w:tc>
          <w:tcPr>
            <w:tcW w:w="2964" w:type="dxa"/>
            <w:gridSpan w:val="3"/>
            <w:tcBorders>
              <w:top w:val="nil"/>
              <w:bottom w:val="nil"/>
            </w:tcBorders>
          </w:tcPr>
          <w:p w14:paraId="55602869" w14:textId="77777777" w:rsidR="000D5945" w:rsidRPr="0043487C" w:rsidRDefault="000D5945" w:rsidP="00F154AD">
            <w:pPr>
              <w:jc w:val="center"/>
              <w:rPr>
                <w:sz w:val="18"/>
                <w:szCs w:val="18"/>
              </w:rPr>
            </w:pPr>
            <w:r>
              <w:rPr>
                <w:sz w:val="18"/>
                <w:szCs w:val="18"/>
              </w:rPr>
              <w:t>2-Jan-06 -</w:t>
            </w:r>
            <w:r w:rsidRPr="001A1587">
              <w:rPr>
                <w:sz w:val="18"/>
                <w:szCs w:val="18"/>
              </w:rPr>
              <w:t xml:space="preserve"> 8-Aug-07</w:t>
            </w:r>
          </w:p>
        </w:tc>
      </w:tr>
      <w:tr w:rsidR="000D5945" w14:paraId="5A201DB3" w14:textId="77777777" w:rsidTr="00F154AD">
        <w:trPr>
          <w:jc w:val="center"/>
        </w:trPr>
        <w:tc>
          <w:tcPr>
            <w:tcW w:w="1252" w:type="dxa"/>
            <w:tcBorders>
              <w:top w:val="nil"/>
              <w:bottom w:val="nil"/>
              <w:right w:val="single" w:sz="4" w:space="0" w:color="auto"/>
            </w:tcBorders>
            <w:vAlign w:val="bottom"/>
          </w:tcPr>
          <w:p w14:paraId="12DC45A6" w14:textId="77777777" w:rsidR="000D5945" w:rsidRPr="00DF4351" w:rsidRDefault="000D5945" w:rsidP="00F154AD">
            <w:pPr>
              <w:rPr>
                <w:rFonts w:cs="Calibri"/>
                <w:color w:val="000000"/>
                <w:sz w:val="18"/>
                <w:szCs w:val="18"/>
              </w:rPr>
            </w:pPr>
          </w:p>
        </w:tc>
        <w:tc>
          <w:tcPr>
            <w:tcW w:w="1047" w:type="dxa"/>
            <w:tcBorders>
              <w:top w:val="nil"/>
              <w:left w:val="single" w:sz="4" w:space="0" w:color="auto"/>
              <w:bottom w:val="nil"/>
              <w:right w:val="nil"/>
            </w:tcBorders>
            <w:vAlign w:val="bottom"/>
          </w:tcPr>
          <w:p w14:paraId="2768BAF6" w14:textId="77777777" w:rsidR="000D5945" w:rsidRPr="00DF4351" w:rsidRDefault="000D5945" w:rsidP="00F154AD">
            <w:pPr>
              <w:rPr>
                <w:rFonts w:cs="Calibri"/>
                <w:color w:val="000000"/>
                <w:sz w:val="18"/>
                <w:szCs w:val="18"/>
              </w:rPr>
            </w:pPr>
            <w:r w:rsidRPr="00DF4351">
              <w:rPr>
                <w:rFonts w:cs="Calibri"/>
                <w:color w:val="000000"/>
                <w:sz w:val="18"/>
                <w:szCs w:val="18"/>
              </w:rPr>
              <w:t>Mean</w:t>
            </w:r>
          </w:p>
        </w:tc>
        <w:tc>
          <w:tcPr>
            <w:tcW w:w="935" w:type="dxa"/>
            <w:tcBorders>
              <w:top w:val="nil"/>
              <w:left w:val="nil"/>
              <w:bottom w:val="nil"/>
              <w:right w:val="nil"/>
            </w:tcBorders>
            <w:vAlign w:val="bottom"/>
          </w:tcPr>
          <w:p w14:paraId="77D9380B" w14:textId="77777777" w:rsidR="000D5945" w:rsidRPr="00DF4351" w:rsidRDefault="000D5945" w:rsidP="00F154AD">
            <w:pPr>
              <w:rPr>
                <w:rFonts w:cs="Calibri"/>
                <w:color w:val="000000"/>
                <w:sz w:val="18"/>
                <w:szCs w:val="18"/>
              </w:rPr>
            </w:pPr>
            <w:r w:rsidRPr="00DF4351">
              <w:rPr>
                <w:rFonts w:cs="Calibri"/>
                <w:color w:val="000000"/>
                <w:sz w:val="18"/>
                <w:szCs w:val="18"/>
              </w:rPr>
              <w:t>Median</w:t>
            </w:r>
          </w:p>
        </w:tc>
        <w:tc>
          <w:tcPr>
            <w:tcW w:w="913" w:type="dxa"/>
            <w:tcBorders>
              <w:top w:val="nil"/>
              <w:left w:val="nil"/>
              <w:bottom w:val="nil"/>
            </w:tcBorders>
            <w:vAlign w:val="bottom"/>
          </w:tcPr>
          <w:p w14:paraId="6348058A" w14:textId="77777777" w:rsidR="000D5945" w:rsidRPr="00DF4351" w:rsidRDefault="000D5945" w:rsidP="00F154AD">
            <w:pPr>
              <w:rPr>
                <w:rFonts w:cs="Calibri"/>
                <w:color w:val="000000"/>
                <w:sz w:val="18"/>
                <w:szCs w:val="18"/>
              </w:rPr>
            </w:pPr>
            <w:r w:rsidRPr="00DF4351">
              <w:rPr>
                <w:rFonts w:cs="Calibri"/>
                <w:color w:val="000000"/>
                <w:sz w:val="18"/>
                <w:szCs w:val="18"/>
              </w:rPr>
              <w:t>St. Dev.</w:t>
            </w:r>
          </w:p>
        </w:tc>
        <w:tc>
          <w:tcPr>
            <w:tcW w:w="1174" w:type="dxa"/>
            <w:tcBorders>
              <w:top w:val="nil"/>
              <w:bottom w:val="nil"/>
              <w:right w:val="nil"/>
            </w:tcBorders>
            <w:vAlign w:val="bottom"/>
          </w:tcPr>
          <w:p w14:paraId="5D096F99" w14:textId="77777777" w:rsidR="000D5945" w:rsidRPr="00DF4351" w:rsidRDefault="000D5945" w:rsidP="00F154AD">
            <w:pPr>
              <w:rPr>
                <w:rFonts w:cs="Calibri"/>
                <w:color w:val="000000"/>
                <w:sz w:val="18"/>
                <w:szCs w:val="18"/>
              </w:rPr>
            </w:pPr>
            <w:r w:rsidRPr="00DF4351">
              <w:rPr>
                <w:rFonts w:cs="Calibri"/>
                <w:color w:val="000000"/>
                <w:sz w:val="18"/>
                <w:szCs w:val="18"/>
              </w:rPr>
              <w:t>Mean</w:t>
            </w:r>
          </w:p>
        </w:tc>
        <w:tc>
          <w:tcPr>
            <w:tcW w:w="904" w:type="dxa"/>
            <w:tcBorders>
              <w:top w:val="nil"/>
              <w:left w:val="nil"/>
              <w:bottom w:val="nil"/>
              <w:right w:val="nil"/>
            </w:tcBorders>
            <w:vAlign w:val="bottom"/>
          </w:tcPr>
          <w:p w14:paraId="4E0B3312" w14:textId="77777777" w:rsidR="000D5945" w:rsidRPr="00DF4351" w:rsidRDefault="000D5945" w:rsidP="00F154AD">
            <w:pPr>
              <w:rPr>
                <w:rFonts w:cs="Calibri"/>
                <w:color w:val="000000"/>
                <w:sz w:val="18"/>
                <w:szCs w:val="18"/>
              </w:rPr>
            </w:pPr>
            <w:r w:rsidRPr="00DF4351">
              <w:rPr>
                <w:rFonts w:cs="Calibri"/>
                <w:color w:val="000000"/>
                <w:sz w:val="18"/>
                <w:szCs w:val="18"/>
              </w:rPr>
              <w:t>Median</w:t>
            </w:r>
          </w:p>
        </w:tc>
        <w:tc>
          <w:tcPr>
            <w:tcW w:w="886" w:type="dxa"/>
            <w:tcBorders>
              <w:top w:val="nil"/>
              <w:left w:val="nil"/>
              <w:bottom w:val="nil"/>
            </w:tcBorders>
            <w:vAlign w:val="bottom"/>
          </w:tcPr>
          <w:p w14:paraId="1EB3285C" w14:textId="77777777" w:rsidR="000D5945" w:rsidRPr="00DF4351" w:rsidRDefault="000D5945" w:rsidP="00F154AD">
            <w:pPr>
              <w:rPr>
                <w:rFonts w:cs="Calibri"/>
                <w:color w:val="000000"/>
                <w:sz w:val="18"/>
                <w:szCs w:val="18"/>
              </w:rPr>
            </w:pPr>
            <w:r w:rsidRPr="00DF4351">
              <w:rPr>
                <w:rFonts w:cs="Calibri"/>
                <w:color w:val="000000"/>
                <w:sz w:val="18"/>
                <w:szCs w:val="18"/>
              </w:rPr>
              <w:t>St. Dev.</w:t>
            </w:r>
          </w:p>
        </w:tc>
      </w:tr>
      <w:tr w:rsidR="000D5945" w14:paraId="3503DF86" w14:textId="77777777" w:rsidTr="00F154AD">
        <w:trPr>
          <w:jc w:val="center"/>
        </w:trPr>
        <w:tc>
          <w:tcPr>
            <w:tcW w:w="1252" w:type="dxa"/>
            <w:tcBorders>
              <w:top w:val="nil"/>
              <w:bottom w:val="nil"/>
              <w:right w:val="single" w:sz="4" w:space="0" w:color="auto"/>
            </w:tcBorders>
            <w:vAlign w:val="bottom"/>
          </w:tcPr>
          <w:p w14:paraId="1D20326C" w14:textId="77777777" w:rsidR="000D5945" w:rsidRPr="00DF4351" w:rsidRDefault="000D5945" w:rsidP="00F154AD">
            <w:pPr>
              <w:rPr>
                <w:rFonts w:cs="Calibri"/>
                <w:color w:val="000000"/>
                <w:sz w:val="18"/>
                <w:szCs w:val="18"/>
              </w:rPr>
            </w:pPr>
          </w:p>
        </w:tc>
        <w:tc>
          <w:tcPr>
            <w:tcW w:w="1047" w:type="dxa"/>
            <w:tcBorders>
              <w:top w:val="nil"/>
              <w:left w:val="single" w:sz="4" w:space="0" w:color="auto"/>
              <w:bottom w:val="nil"/>
              <w:right w:val="nil"/>
            </w:tcBorders>
            <w:vAlign w:val="bottom"/>
          </w:tcPr>
          <w:p w14:paraId="773B1D44" w14:textId="77777777" w:rsidR="000D5945" w:rsidRPr="00DF4351" w:rsidRDefault="000D5945" w:rsidP="00F154AD">
            <w:pPr>
              <w:rPr>
                <w:rFonts w:cs="Calibri"/>
                <w:color w:val="000000"/>
                <w:sz w:val="18"/>
                <w:szCs w:val="18"/>
              </w:rPr>
            </w:pPr>
          </w:p>
        </w:tc>
        <w:tc>
          <w:tcPr>
            <w:tcW w:w="935" w:type="dxa"/>
            <w:tcBorders>
              <w:top w:val="nil"/>
              <w:left w:val="nil"/>
              <w:bottom w:val="nil"/>
              <w:right w:val="nil"/>
            </w:tcBorders>
            <w:vAlign w:val="bottom"/>
          </w:tcPr>
          <w:p w14:paraId="31DEB736" w14:textId="77777777" w:rsidR="000D5945" w:rsidRPr="00DF4351" w:rsidRDefault="000D5945" w:rsidP="00F154AD">
            <w:pPr>
              <w:rPr>
                <w:rFonts w:cs="Calibri"/>
                <w:color w:val="000000"/>
                <w:sz w:val="18"/>
                <w:szCs w:val="18"/>
              </w:rPr>
            </w:pPr>
          </w:p>
        </w:tc>
        <w:tc>
          <w:tcPr>
            <w:tcW w:w="913" w:type="dxa"/>
            <w:tcBorders>
              <w:top w:val="nil"/>
              <w:left w:val="nil"/>
              <w:bottom w:val="nil"/>
            </w:tcBorders>
            <w:vAlign w:val="bottom"/>
          </w:tcPr>
          <w:p w14:paraId="48274FAF" w14:textId="77777777" w:rsidR="000D5945" w:rsidRPr="00DF4351" w:rsidRDefault="000D5945" w:rsidP="00F154AD">
            <w:pPr>
              <w:rPr>
                <w:rFonts w:cs="Calibri"/>
                <w:color w:val="000000"/>
                <w:sz w:val="18"/>
                <w:szCs w:val="18"/>
              </w:rPr>
            </w:pPr>
          </w:p>
        </w:tc>
        <w:tc>
          <w:tcPr>
            <w:tcW w:w="1174" w:type="dxa"/>
            <w:tcBorders>
              <w:top w:val="nil"/>
              <w:bottom w:val="nil"/>
              <w:right w:val="nil"/>
            </w:tcBorders>
            <w:vAlign w:val="bottom"/>
          </w:tcPr>
          <w:p w14:paraId="2728C7D7" w14:textId="77777777" w:rsidR="000D5945" w:rsidRPr="00DF4351" w:rsidRDefault="000D5945" w:rsidP="00F154AD">
            <w:pPr>
              <w:rPr>
                <w:rFonts w:cs="Calibri"/>
                <w:color w:val="000000"/>
                <w:sz w:val="18"/>
                <w:szCs w:val="18"/>
              </w:rPr>
            </w:pPr>
          </w:p>
        </w:tc>
        <w:tc>
          <w:tcPr>
            <w:tcW w:w="904" w:type="dxa"/>
            <w:tcBorders>
              <w:top w:val="nil"/>
              <w:left w:val="nil"/>
              <w:bottom w:val="nil"/>
              <w:right w:val="nil"/>
            </w:tcBorders>
            <w:vAlign w:val="bottom"/>
          </w:tcPr>
          <w:p w14:paraId="62873FB8" w14:textId="77777777" w:rsidR="000D5945" w:rsidRPr="00DF4351" w:rsidRDefault="000D5945" w:rsidP="00F154AD">
            <w:pPr>
              <w:rPr>
                <w:rFonts w:cs="Calibri"/>
                <w:color w:val="000000"/>
                <w:sz w:val="18"/>
                <w:szCs w:val="18"/>
              </w:rPr>
            </w:pPr>
          </w:p>
        </w:tc>
        <w:tc>
          <w:tcPr>
            <w:tcW w:w="886" w:type="dxa"/>
            <w:tcBorders>
              <w:top w:val="nil"/>
              <w:left w:val="nil"/>
              <w:bottom w:val="nil"/>
            </w:tcBorders>
            <w:vAlign w:val="bottom"/>
          </w:tcPr>
          <w:p w14:paraId="79A47405" w14:textId="77777777" w:rsidR="000D5945" w:rsidRPr="00DF4351" w:rsidRDefault="000D5945" w:rsidP="00F154AD">
            <w:pPr>
              <w:rPr>
                <w:rFonts w:cs="Calibri"/>
                <w:color w:val="000000"/>
                <w:sz w:val="18"/>
                <w:szCs w:val="18"/>
              </w:rPr>
            </w:pPr>
          </w:p>
        </w:tc>
      </w:tr>
      <w:tr w:rsidR="000D5945" w14:paraId="14B4BA83" w14:textId="77777777" w:rsidTr="00F154AD">
        <w:trPr>
          <w:jc w:val="center"/>
        </w:trPr>
        <w:tc>
          <w:tcPr>
            <w:tcW w:w="1252" w:type="dxa"/>
            <w:tcBorders>
              <w:top w:val="nil"/>
              <w:bottom w:val="nil"/>
            </w:tcBorders>
            <w:vAlign w:val="bottom"/>
          </w:tcPr>
          <w:p w14:paraId="70A2ED52" w14:textId="77777777" w:rsidR="000D5945" w:rsidRPr="00DF4351" w:rsidRDefault="000D5945" w:rsidP="00F154AD">
            <w:pPr>
              <w:rPr>
                <w:rFonts w:cs="Calibri"/>
                <w:color w:val="000000"/>
                <w:sz w:val="18"/>
                <w:szCs w:val="18"/>
              </w:rPr>
            </w:pPr>
            <w:r>
              <w:rPr>
                <w:rFonts w:cs="Calibri"/>
                <w:color w:val="000000"/>
                <w:sz w:val="18"/>
                <w:szCs w:val="18"/>
              </w:rPr>
              <w:t>C</w:t>
            </w:r>
            <w:r w:rsidRPr="00DF4351">
              <w:rPr>
                <w:rFonts w:cs="Calibri"/>
                <w:color w:val="000000"/>
                <w:sz w:val="18"/>
                <w:szCs w:val="18"/>
              </w:rPr>
              <w:t>C</w:t>
            </w:r>
          </w:p>
        </w:tc>
        <w:tc>
          <w:tcPr>
            <w:tcW w:w="1047" w:type="dxa"/>
            <w:tcBorders>
              <w:top w:val="nil"/>
              <w:bottom w:val="nil"/>
              <w:right w:val="nil"/>
            </w:tcBorders>
          </w:tcPr>
          <w:p w14:paraId="3577543B" w14:textId="57CE2B50" w:rsidR="000D5945" w:rsidRPr="009772CB" w:rsidRDefault="000D5945">
            <w:pPr>
              <w:jc w:val="center"/>
              <w:rPr>
                <w:sz w:val="18"/>
                <w:szCs w:val="18"/>
              </w:rPr>
            </w:pPr>
            <w:r w:rsidRPr="009772CB">
              <w:rPr>
                <w:sz w:val="18"/>
                <w:szCs w:val="18"/>
              </w:rPr>
              <w:t>0.</w:t>
            </w:r>
            <w:r w:rsidR="00B11A42">
              <w:rPr>
                <w:sz w:val="18"/>
                <w:szCs w:val="18"/>
              </w:rPr>
              <w:t>0577</w:t>
            </w:r>
          </w:p>
        </w:tc>
        <w:tc>
          <w:tcPr>
            <w:tcW w:w="935" w:type="dxa"/>
            <w:tcBorders>
              <w:top w:val="nil"/>
              <w:left w:val="nil"/>
              <w:bottom w:val="nil"/>
              <w:right w:val="nil"/>
            </w:tcBorders>
          </w:tcPr>
          <w:p w14:paraId="3DE73593" w14:textId="15C85C4B" w:rsidR="000D5945" w:rsidRPr="009772CB" w:rsidRDefault="000D5945">
            <w:pPr>
              <w:jc w:val="center"/>
              <w:rPr>
                <w:sz w:val="18"/>
                <w:szCs w:val="18"/>
              </w:rPr>
            </w:pPr>
            <w:r w:rsidRPr="009772CB">
              <w:rPr>
                <w:sz w:val="18"/>
                <w:szCs w:val="18"/>
              </w:rPr>
              <w:t>0.</w:t>
            </w:r>
            <w:r w:rsidR="00B11A42">
              <w:rPr>
                <w:sz w:val="18"/>
                <w:szCs w:val="18"/>
              </w:rPr>
              <w:t>0492</w:t>
            </w:r>
          </w:p>
        </w:tc>
        <w:tc>
          <w:tcPr>
            <w:tcW w:w="913" w:type="dxa"/>
            <w:tcBorders>
              <w:top w:val="nil"/>
              <w:left w:val="nil"/>
              <w:bottom w:val="nil"/>
            </w:tcBorders>
          </w:tcPr>
          <w:p w14:paraId="69FF0F95" w14:textId="5F791452" w:rsidR="000D5945" w:rsidRPr="009772CB" w:rsidRDefault="000D5945">
            <w:pPr>
              <w:jc w:val="center"/>
              <w:rPr>
                <w:sz w:val="18"/>
                <w:szCs w:val="18"/>
              </w:rPr>
            </w:pPr>
            <w:r w:rsidRPr="009772CB">
              <w:rPr>
                <w:sz w:val="18"/>
                <w:szCs w:val="18"/>
              </w:rPr>
              <w:t>0.</w:t>
            </w:r>
            <w:r w:rsidR="00B11A42">
              <w:rPr>
                <w:sz w:val="18"/>
                <w:szCs w:val="18"/>
              </w:rPr>
              <w:t>0497</w:t>
            </w:r>
          </w:p>
        </w:tc>
        <w:tc>
          <w:tcPr>
            <w:tcW w:w="1174" w:type="dxa"/>
            <w:tcBorders>
              <w:top w:val="nil"/>
              <w:bottom w:val="nil"/>
              <w:right w:val="nil"/>
            </w:tcBorders>
          </w:tcPr>
          <w:p w14:paraId="7905B665" w14:textId="65E91AEE" w:rsidR="000D5945" w:rsidRPr="009772CB" w:rsidRDefault="000D5945">
            <w:pPr>
              <w:jc w:val="center"/>
              <w:rPr>
                <w:sz w:val="18"/>
                <w:szCs w:val="18"/>
              </w:rPr>
            </w:pPr>
            <w:r w:rsidRPr="009772CB">
              <w:rPr>
                <w:sz w:val="18"/>
                <w:szCs w:val="18"/>
              </w:rPr>
              <w:t>0.</w:t>
            </w:r>
            <w:r w:rsidR="00F12170">
              <w:rPr>
                <w:sz w:val="18"/>
                <w:szCs w:val="18"/>
              </w:rPr>
              <w:t>3546</w:t>
            </w:r>
          </w:p>
        </w:tc>
        <w:tc>
          <w:tcPr>
            <w:tcW w:w="904" w:type="dxa"/>
            <w:tcBorders>
              <w:top w:val="nil"/>
              <w:left w:val="nil"/>
              <w:bottom w:val="nil"/>
              <w:right w:val="nil"/>
            </w:tcBorders>
          </w:tcPr>
          <w:p w14:paraId="6B3336C7" w14:textId="056AA8DD" w:rsidR="000D5945" w:rsidRPr="009772CB" w:rsidRDefault="000D5945">
            <w:pPr>
              <w:jc w:val="center"/>
              <w:rPr>
                <w:sz w:val="18"/>
                <w:szCs w:val="18"/>
              </w:rPr>
            </w:pPr>
            <w:r w:rsidRPr="009772CB">
              <w:rPr>
                <w:sz w:val="18"/>
                <w:szCs w:val="18"/>
              </w:rPr>
              <w:t>0.</w:t>
            </w:r>
            <w:r w:rsidR="009414EA">
              <w:rPr>
                <w:sz w:val="18"/>
                <w:szCs w:val="18"/>
              </w:rPr>
              <w:t>3524</w:t>
            </w:r>
          </w:p>
        </w:tc>
        <w:tc>
          <w:tcPr>
            <w:tcW w:w="886" w:type="dxa"/>
            <w:tcBorders>
              <w:top w:val="nil"/>
              <w:left w:val="nil"/>
              <w:bottom w:val="nil"/>
            </w:tcBorders>
          </w:tcPr>
          <w:p w14:paraId="26C95453" w14:textId="058B07A3" w:rsidR="000D5945" w:rsidRPr="009772CB" w:rsidRDefault="000D5945">
            <w:pPr>
              <w:jc w:val="center"/>
              <w:rPr>
                <w:sz w:val="18"/>
                <w:szCs w:val="18"/>
              </w:rPr>
            </w:pPr>
            <w:r w:rsidRPr="009772CB">
              <w:rPr>
                <w:sz w:val="18"/>
                <w:szCs w:val="18"/>
              </w:rPr>
              <w:t>0.</w:t>
            </w:r>
            <w:r w:rsidR="009414EA">
              <w:rPr>
                <w:sz w:val="18"/>
                <w:szCs w:val="18"/>
              </w:rPr>
              <w:t>0255</w:t>
            </w:r>
          </w:p>
        </w:tc>
      </w:tr>
      <w:tr w:rsidR="000D5945" w14:paraId="6AE980A3" w14:textId="77777777" w:rsidTr="00F154AD">
        <w:trPr>
          <w:jc w:val="center"/>
        </w:trPr>
        <w:tc>
          <w:tcPr>
            <w:tcW w:w="1252" w:type="dxa"/>
            <w:tcBorders>
              <w:top w:val="nil"/>
              <w:bottom w:val="nil"/>
            </w:tcBorders>
            <w:vAlign w:val="bottom"/>
          </w:tcPr>
          <w:p w14:paraId="7463FC91" w14:textId="77777777" w:rsidR="000D5945" w:rsidRPr="00DF4351" w:rsidRDefault="000D5945" w:rsidP="00F154AD">
            <w:pPr>
              <w:rPr>
                <w:rFonts w:cs="Calibri"/>
                <w:color w:val="000000"/>
                <w:sz w:val="18"/>
                <w:szCs w:val="18"/>
              </w:rPr>
            </w:pPr>
            <w:r w:rsidRPr="00DF4351">
              <w:rPr>
                <w:rFonts w:cs="Calibri"/>
                <w:color w:val="000000"/>
                <w:sz w:val="18"/>
                <w:szCs w:val="18"/>
              </w:rPr>
              <w:t>Closeness</w:t>
            </w:r>
          </w:p>
        </w:tc>
        <w:tc>
          <w:tcPr>
            <w:tcW w:w="1047" w:type="dxa"/>
            <w:tcBorders>
              <w:top w:val="nil"/>
              <w:bottom w:val="nil"/>
              <w:right w:val="nil"/>
            </w:tcBorders>
            <w:vAlign w:val="bottom"/>
          </w:tcPr>
          <w:p w14:paraId="3ADD43BB" w14:textId="33B8B221" w:rsidR="000D5945" w:rsidRPr="00DF4351" w:rsidRDefault="00D36B69">
            <w:pPr>
              <w:jc w:val="center"/>
              <w:rPr>
                <w:rFonts w:cs="Calibri"/>
                <w:color w:val="000000"/>
                <w:sz w:val="18"/>
                <w:szCs w:val="18"/>
              </w:rPr>
            </w:pPr>
            <w:r>
              <w:rPr>
                <w:rFonts w:cs="Calibri"/>
                <w:color w:val="000000"/>
                <w:sz w:val="18"/>
                <w:szCs w:val="18"/>
              </w:rPr>
              <w:t>0.0571</w:t>
            </w:r>
          </w:p>
        </w:tc>
        <w:tc>
          <w:tcPr>
            <w:tcW w:w="935" w:type="dxa"/>
            <w:tcBorders>
              <w:top w:val="nil"/>
              <w:left w:val="nil"/>
              <w:bottom w:val="nil"/>
              <w:right w:val="nil"/>
            </w:tcBorders>
            <w:vAlign w:val="bottom"/>
          </w:tcPr>
          <w:p w14:paraId="557C3CEA" w14:textId="3D61CD86" w:rsidR="000D5945" w:rsidRPr="00DF4351" w:rsidRDefault="00CD128D">
            <w:pPr>
              <w:jc w:val="center"/>
              <w:rPr>
                <w:rFonts w:cs="Calibri"/>
                <w:color w:val="000000"/>
                <w:sz w:val="18"/>
                <w:szCs w:val="18"/>
              </w:rPr>
            </w:pPr>
            <w:r>
              <w:rPr>
                <w:rFonts w:cs="Calibri"/>
                <w:color w:val="000000"/>
                <w:sz w:val="18"/>
                <w:szCs w:val="18"/>
              </w:rPr>
              <w:t>0.0536</w:t>
            </w:r>
          </w:p>
        </w:tc>
        <w:tc>
          <w:tcPr>
            <w:tcW w:w="913" w:type="dxa"/>
            <w:tcBorders>
              <w:top w:val="nil"/>
              <w:left w:val="nil"/>
              <w:bottom w:val="nil"/>
            </w:tcBorders>
            <w:vAlign w:val="bottom"/>
          </w:tcPr>
          <w:p w14:paraId="1A39D100" w14:textId="37B6FF1B" w:rsidR="000D5945" w:rsidRPr="00DF4351" w:rsidRDefault="00DA170D">
            <w:pPr>
              <w:jc w:val="center"/>
              <w:rPr>
                <w:rFonts w:cs="Calibri"/>
                <w:color w:val="000000"/>
                <w:sz w:val="18"/>
                <w:szCs w:val="18"/>
              </w:rPr>
            </w:pPr>
            <w:r>
              <w:rPr>
                <w:rFonts w:cs="Calibri"/>
                <w:color w:val="000000"/>
                <w:sz w:val="18"/>
                <w:szCs w:val="18"/>
              </w:rPr>
              <w:t>0.0116</w:t>
            </w:r>
          </w:p>
        </w:tc>
        <w:tc>
          <w:tcPr>
            <w:tcW w:w="1174" w:type="dxa"/>
            <w:tcBorders>
              <w:top w:val="nil"/>
              <w:bottom w:val="nil"/>
              <w:right w:val="nil"/>
            </w:tcBorders>
            <w:vAlign w:val="bottom"/>
          </w:tcPr>
          <w:p w14:paraId="3713A75F" w14:textId="7F9F0025" w:rsidR="000D5945" w:rsidRPr="00DF4351" w:rsidRDefault="000D5945">
            <w:pPr>
              <w:jc w:val="center"/>
              <w:rPr>
                <w:rFonts w:cs="Calibri"/>
                <w:color w:val="000000"/>
                <w:sz w:val="18"/>
                <w:szCs w:val="18"/>
              </w:rPr>
            </w:pPr>
            <w:r w:rsidRPr="00DF4351">
              <w:rPr>
                <w:rFonts w:cs="Calibri"/>
                <w:color w:val="000000"/>
                <w:sz w:val="18"/>
                <w:szCs w:val="18"/>
              </w:rPr>
              <w:t>0.</w:t>
            </w:r>
            <w:r w:rsidR="00F12170">
              <w:rPr>
                <w:rFonts w:cs="Calibri"/>
                <w:color w:val="000000"/>
                <w:sz w:val="18"/>
                <w:szCs w:val="18"/>
              </w:rPr>
              <w:t>0064</w:t>
            </w:r>
          </w:p>
        </w:tc>
        <w:tc>
          <w:tcPr>
            <w:tcW w:w="904" w:type="dxa"/>
            <w:tcBorders>
              <w:top w:val="nil"/>
              <w:left w:val="nil"/>
              <w:bottom w:val="nil"/>
              <w:right w:val="nil"/>
            </w:tcBorders>
            <w:vAlign w:val="bottom"/>
          </w:tcPr>
          <w:p w14:paraId="0808AE19" w14:textId="22DD03CF" w:rsidR="000D5945" w:rsidRPr="00DF4351" w:rsidRDefault="000D5945">
            <w:pPr>
              <w:jc w:val="center"/>
              <w:rPr>
                <w:rFonts w:cs="Calibri"/>
                <w:color w:val="000000"/>
                <w:sz w:val="18"/>
                <w:szCs w:val="18"/>
              </w:rPr>
            </w:pPr>
            <w:r w:rsidRPr="00DF4351">
              <w:rPr>
                <w:rFonts w:cs="Calibri"/>
                <w:color w:val="000000"/>
                <w:sz w:val="18"/>
                <w:szCs w:val="18"/>
              </w:rPr>
              <w:t>0.</w:t>
            </w:r>
            <w:r w:rsidR="009414EA">
              <w:rPr>
                <w:rFonts w:cs="Calibri"/>
                <w:color w:val="000000"/>
                <w:sz w:val="18"/>
                <w:szCs w:val="18"/>
              </w:rPr>
              <w:t>0061</w:t>
            </w:r>
          </w:p>
        </w:tc>
        <w:tc>
          <w:tcPr>
            <w:tcW w:w="886" w:type="dxa"/>
            <w:tcBorders>
              <w:top w:val="nil"/>
              <w:left w:val="nil"/>
              <w:bottom w:val="nil"/>
            </w:tcBorders>
            <w:vAlign w:val="bottom"/>
          </w:tcPr>
          <w:p w14:paraId="500BAC9A" w14:textId="6C4EEE40" w:rsidR="000D5945" w:rsidRPr="00DF4351" w:rsidRDefault="000D5945">
            <w:pPr>
              <w:jc w:val="center"/>
              <w:rPr>
                <w:rFonts w:cs="Calibri"/>
                <w:color w:val="000000"/>
                <w:sz w:val="18"/>
                <w:szCs w:val="18"/>
              </w:rPr>
            </w:pPr>
            <w:r w:rsidRPr="00DF4351">
              <w:rPr>
                <w:rFonts w:cs="Calibri"/>
                <w:color w:val="000000"/>
                <w:sz w:val="18"/>
                <w:szCs w:val="18"/>
              </w:rPr>
              <w:t>0.</w:t>
            </w:r>
            <w:r w:rsidR="009414EA">
              <w:rPr>
                <w:rFonts w:cs="Calibri"/>
                <w:color w:val="000000"/>
                <w:sz w:val="18"/>
                <w:szCs w:val="18"/>
              </w:rPr>
              <w:t>0009</w:t>
            </w:r>
          </w:p>
        </w:tc>
      </w:tr>
      <w:tr w:rsidR="000D5945" w14:paraId="3BBE4C33" w14:textId="77777777" w:rsidTr="00F154AD">
        <w:trPr>
          <w:jc w:val="center"/>
        </w:trPr>
        <w:tc>
          <w:tcPr>
            <w:tcW w:w="1252" w:type="dxa"/>
            <w:tcBorders>
              <w:top w:val="nil"/>
              <w:bottom w:val="nil"/>
            </w:tcBorders>
            <w:vAlign w:val="bottom"/>
          </w:tcPr>
          <w:p w14:paraId="1AF8CE40" w14:textId="77777777" w:rsidR="000D5945" w:rsidRPr="00DF4351" w:rsidRDefault="000D5945" w:rsidP="00F154AD">
            <w:pPr>
              <w:rPr>
                <w:rFonts w:cs="Calibri"/>
                <w:color w:val="000000"/>
                <w:sz w:val="18"/>
                <w:szCs w:val="18"/>
              </w:rPr>
            </w:pPr>
            <w:r>
              <w:rPr>
                <w:rFonts w:cs="Calibri"/>
                <w:color w:val="000000"/>
                <w:sz w:val="18"/>
                <w:szCs w:val="18"/>
              </w:rPr>
              <w:t>Degree</w:t>
            </w:r>
          </w:p>
        </w:tc>
        <w:tc>
          <w:tcPr>
            <w:tcW w:w="1047" w:type="dxa"/>
            <w:tcBorders>
              <w:top w:val="nil"/>
              <w:bottom w:val="nil"/>
              <w:right w:val="nil"/>
            </w:tcBorders>
            <w:vAlign w:val="bottom"/>
          </w:tcPr>
          <w:p w14:paraId="560D296B" w14:textId="4F9668CA" w:rsidR="000D5945" w:rsidRPr="00DF4351" w:rsidRDefault="00D36B69">
            <w:pPr>
              <w:jc w:val="center"/>
              <w:rPr>
                <w:rFonts w:cs="Calibri"/>
                <w:color w:val="000000"/>
                <w:sz w:val="18"/>
                <w:szCs w:val="18"/>
              </w:rPr>
            </w:pPr>
            <w:r>
              <w:rPr>
                <w:rFonts w:cs="Calibri"/>
                <w:color w:val="000000"/>
                <w:sz w:val="18"/>
                <w:szCs w:val="18"/>
              </w:rPr>
              <w:t>0.0587</w:t>
            </w:r>
          </w:p>
        </w:tc>
        <w:tc>
          <w:tcPr>
            <w:tcW w:w="935" w:type="dxa"/>
            <w:tcBorders>
              <w:top w:val="nil"/>
              <w:left w:val="nil"/>
              <w:bottom w:val="nil"/>
              <w:right w:val="nil"/>
            </w:tcBorders>
            <w:vAlign w:val="bottom"/>
          </w:tcPr>
          <w:p w14:paraId="51FAC23D" w14:textId="6C165383" w:rsidR="000D5945" w:rsidRPr="00DF4351" w:rsidRDefault="00CD128D" w:rsidP="00F154AD">
            <w:pPr>
              <w:jc w:val="center"/>
              <w:rPr>
                <w:rFonts w:cs="Calibri"/>
                <w:color w:val="000000"/>
                <w:sz w:val="18"/>
                <w:szCs w:val="18"/>
              </w:rPr>
            </w:pPr>
            <w:r>
              <w:rPr>
                <w:rFonts w:cs="Calibri"/>
                <w:color w:val="000000"/>
                <w:sz w:val="18"/>
                <w:szCs w:val="18"/>
              </w:rPr>
              <w:t>0.0582</w:t>
            </w:r>
          </w:p>
        </w:tc>
        <w:tc>
          <w:tcPr>
            <w:tcW w:w="913" w:type="dxa"/>
            <w:tcBorders>
              <w:top w:val="nil"/>
              <w:left w:val="nil"/>
              <w:bottom w:val="nil"/>
            </w:tcBorders>
            <w:vAlign w:val="bottom"/>
          </w:tcPr>
          <w:p w14:paraId="1BFA8C3B" w14:textId="026591CB" w:rsidR="000D5945" w:rsidRPr="00DF4351" w:rsidRDefault="00DA170D" w:rsidP="00F154AD">
            <w:pPr>
              <w:jc w:val="center"/>
              <w:rPr>
                <w:rFonts w:cs="Calibri"/>
                <w:color w:val="000000"/>
                <w:sz w:val="18"/>
                <w:szCs w:val="18"/>
              </w:rPr>
            </w:pPr>
            <w:r>
              <w:rPr>
                <w:rFonts w:cs="Calibri"/>
                <w:color w:val="000000"/>
                <w:sz w:val="18"/>
                <w:szCs w:val="18"/>
              </w:rPr>
              <w:t>0.0083</w:t>
            </w:r>
          </w:p>
        </w:tc>
        <w:tc>
          <w:tcPr>
            <w:tcW w:w="1174" w:type="dxa"/>
            <w:tcBorders>
              <w:top w:val="nil"/>
              <w:bottom w:val="nil"/>
              <w:right w:val="nil"/>
            </w:tcBorders>
            <w:vAlign w:val="bottom"/>
          </w:tcPr>
          <w:p w14:paraId="75E286C0" w14:textId="59C73471" w:rsidR="000D5945" w:rsidRPr="00DF4351" w:rsidRDefault="000D5945">
            <w:pPr>
              <w:jc w:val="center"/>
              <w:rPr>
                <w:rFonts w:cs="Calibri"/>
                <w:color w:val="000000"/>
                <w:sz w:val="18"/>
                <w:szCs w:val="18"/>
              </w:rPr>
            </w:pPr>
            <w:r>
              <w:rPr>
                <w:rFonts w:cs="Calibri"/>
                <w:color w:val="000000"/>
                <w:sz w:val="18"/>
                <w:szCs w:val="18"/>
              </w:rPr>
              <w:t>0.</w:t>
            </w:r>
            <w:r w:rsidR="00F12170">
              <w:rPr>
                <w:rFonts w:cs="Calibri"/>
                <w:color w:val="000000"/>
                <w:sz w:val="18"/>
                <w:szCs w:val="18"/>
              </w:rPr>
              <w:t>0845</w:t>
            </w:r>
          </w:p>
        </w:tc>
        <w:tc>
          <w:tcPr>
            <w:tcW w:w="904" w:type="dxa"/>
            <w:tcBorders>
              <w:top w:val="nil"/>
              <w:left w:val="nil"/>
              <w:bottom w:val="nil"/>
              <w:right w:val="nil"/>
            </w:tcBorders>
            <w:vAlign w:val="bottom"/>
          </w:tcPr>
          <w:p w14:paraId="0E58735B" w14:textId="544B9CCE" w:rsidR="000D5945" w:rsidRPr="00DF4351" w:rsidRDefault="000D5945">
            <w:pPr>
              <w:jc w:val="center"/>
              <w:rPr>
                <w:rFonts w:cs="Calibri"/>
                <w:color w:val="000000"/>
                <w:sz w:val="18"/>
                <w:szCs w:val="18"/>
              </w:rPr>
            </w:pPr>
            <w:r>
              <w:rPr>
                <w:rFonts w:cs="Calibri"/>
                <w:color w:val="000000"/>
                <w:sz w:val="18"/>
                <w:szCs w:val="18"/>
              </w:rPr>
              <w:t>0.</w:t>
            </w:r>
            <w:r w:rsidR="009414EA">
              <w:rPr>
                <w:rFonts w:cs="Calibri"/>
                <w:color w:val="000000"/>
                <w:sz w:val="18"/>
                <w:szCs w:val="18"/>
              </w:rPr>
              <w:t>0843</w:t>
            </w:r>
          </w:p>
        </w:tc>
        <w:tc>
          <w:tcPr>
            <w:tcW w:w="886" w:type="dxa"/>
            <w:tcBorders>
              <w:top w:val="nil"/>
              <w:left w:val="nil"/>
              <w:bottom w:val="nil"/>
            </w:tcBorders>
            <w:vAlign w:val="bottom"/>
          </w:tcPr>
          <w:p w14:paraId="724E2A6B" w14:textId="568AE3AB" w:rsidR="000D5945" w:rsidRPr="00DF4351" w:rsidRDefault="000D5945">
            <w:pPr>
              <w:jc w:val="center"/>
              <w:rPr>
                <w:rFonts w:cs="Calibri"/>
                <w:color w:val="000000"/>
                <w:sz w:val="18"/>
                <w:szCs w:val="18"/>
              </w:rPr>
            </w:pPr>
            <w:r>
              <w:rPr>
                <w:rFonts w:cs="Calibri"/>
                <w:color w:val="000000"/>
                <w:sz w:val="18"/>
                <w:szCs w:val="18"/>
              </w:rPr>
              <w:t>0.</w:t>
            </w:r>
            <w:r w:rsidR="009414EA">
              <w:rPr>
                <w:rFonts w:cs="Calibri"/>
                <w:color w:val="000000"/>
                <w:sz w:val="18"/>
                <w:szCs w:val="18"/>
              </w:rPr>
              <w:t>0049</w:t>
            </w:r>
          </w:p>
        </w:tc>
      </w:tr>
      <w:tr w:rsidR="000D5945" w14:paraId="7A3BD42F" w14:textId="77777777" w:rsidTr="00F154AD">
        <w:trPr>
          <w:jc w:val="center"/>
        </w:trPr>
        <w:tc>
          <w:tcPr>
            <w:tcW w:w="1252" w:type="dxa"/>
            <w:tcBorders>
              <w:top w:val="nil"/>
              <w:bottom w:val="nil"/>
            </w:tcBorders>
            <w:vAlign w:val="bottom"/>
          </w:tcPr>
          <w:p w14:paraId="0E7E07CA" w14:textId="77777777" w:rsidR="000D5945" w:rsidRPr="00DF4351" w:rsidRDefault="000D5945" w:rsidP="00F154AD">
            <w:pPr>
              <w:rPr>
                <w:rFonts w:cs="Calibri"/>
                <w:color w:val="000000"/>
                <w:sz w:val="18"/>
                <w:szCs w:val="18"/>
              </w:rPr>
            </w:pPr>
            <w:r>
              <w:rPr>
                <w:rFonts w:cs="Calibri"/>
                <w:color w:val="000000"/>
                <w:sz w:val="18"/>
                <w:szCs w:val="18"/>
              </w:rPr>
              <w:t>LSCC</w:t>
            </w:r>
          </w:p>
        </w:tc>
        <w:tc>
          <w:tcPr>
            <w:tcW w:w="1047" w:type="dxa"/>
            <w:tcBorders>
              <w:top w:val="nil"/>
              <w:bottom w:val="nil"/>
              <w:right w:val="nil"/>
            </w:tcBorders>
            <w:vAlign w:val="bottom"/>
          </w:tcPr>
          <w:p w14:paraId="13FD79E5" w14:textId="4008A576" w:rsidR="000D5945" w:rsidRPr="00DF4351" w:rsidRDefault="000D5945">
            <w:pPr>
              <w:jc w:val="center"/>
              <w:rPr>
                <w:rFonts w:cs="Calibri"/>
                <w:color w:val="000000"/>
                <w:sz w:val="18"/>
                <w:szCs w:val="18"/>
              </w:rPr>
            </w:pPr>
            <w:r w:rsidRPr="00DF4351">
              <w:rPr>
                <w:rFonts w:cs="Calibri"/>
                <w:color w:val="000000"/>
                <w:sz w:val="18"/>
                <w:szCs w:val="18"/>
              </w:rPr>
              <w:t>0.</w:t>
            </w:r>
            <w:r w:rsidR="00D36B69">
              <w:rPr>
                <w:rFonts w:cs="Calibri"/>
                <w:color w:val="000000"/>
                <w:sz w:val="18"/>
                <w:szCs w:val="18"/>
              </w:rPr>
              <w:t>2201</w:t>
            </w:r>
          </w:p>
        </w:tc>
        <w:tc>
          <w:tcPr>
            <w:tcW w:w="935" w:type="dxa"/>
            <w:tcBorders>
              <w:top w:val="nil"/>
              <w:left w:val="nil"/>
              <w:bottom w:val="nil"/>
              <w:right w:val="nil"/>
            </w:tcBorders>
            <w:vAlign w:val="bottom"/>
          </w:tcPr>
          <w:p w14:paraId="7E3A11CA" w14:textId="118762EF" w:rsidR="000D5945" w:rsidRPr="00DF4351" w:rsidRDefault="000D5945">
            <w:pPr>
              <w:jc w:val="center"/>
              <w:rPr>
                <w:rFonts w:cs="Calibri"/>
                <w:color w:val="000000"/>
                <w:sz w:val="18"/>
                <w:szCs w:val="18"/>
              </w:rPr>
            </w:pPr>
            <w:r w:rsidRPr="00DF4351">
              <w:rPr>
                <w:rFonts w:cs="Calibri"/>
                <w:color w:val="000000"/>
                <w:sz w:val="18"/>
                <w:szCs w:val="18"/>
              </w:rPr>
              <w:t>0.</w:t>
            </w:r>
            <w:r w:rsidR="00CD128D">
              <w:rPr>
                <w:rFonts w:cs="Calibri"/>
                <w:color w:val="000000"/>
                <w:sz w:val="18"/>
                <w:szCs w:val="18"/>
              </w:rPr>
              <w:t>2083</w:t>
            </w:r>
          </w:p>
        </w:tc>
        <w:tc>
          <w:tcPr>
            <w:tcW w:w="913" w:type="dxa"/>
            <w:tcBorders>
              <w:top w:val="nil"/>
              <w:left w:val="nil"/>
              <w:bottom w:val="nil"/>
            </w:tcBorders>
            <w:vAlign w:val="bottom"/>
          </w:tcPr>
          <w:p w14:paraId="14C97D27" w14:textId="301AE696" w:rsidR="000D5945" w:rsidRPr="00DF4351" w:rsidRDefault="000D5945">
            <w:pPr>
              <w:jc w:val="center"/>
              <w:rPr>
                <w:rFonts w:cs="Calibri"/>
                <w:color w:val="000000"/>
                <w:sz w:val="18"/>
                <w:szCs w:val="18"/>
              </w:rPr>
            </w:pPr>
            <w:r w:rsidRPr="00DF4351">
              <w:rPr>
                <w:rFonts w:cs="Calibri"/>
                <w:color w:val="000000"/>
                <w:sz w:val="18"/>
                <w:szCs w:val="18"/>
              </w:rPr>
              <w:t>0.</w:t>
            </w:r>
            <w:r w:rsidR="00DA170D">
              <w:rPr>
                <w:rFonts w:cs="Calibri"/>
                <w:color w:val="000000"/>
                <w:sz w:val="18"/>
                <w:szCs w:val="18"/>
              </w:rPr>
              <w:t>1440</w:t>
            </w:r>
          </w:p>
        </w:tc>
        <w:tc>
          <w:tcPr>
            <w:tcW w:w="1174" w:type="dxa"/>
            <w:tcBorders>
              <w:top w:val="nil"/>
              <w:bottom w:val="nil"/>
              <w:right w:val="nil"/>
            </w:tcBorders>
            <w:vAlign w:val="bottom"/>
          </w:tcPr>
          <w:p w14:paraId="10D303EF" w14:textId="26EA7CEE" w:rsidR="000D5945" w:rsidRPr="00DF4351" w:rsidRDefault="000D5945">
            <w:pPr>
              <w:jc w:val="center"/>
              <w:rPr>
                <w:rFonts w:cs="Calibri"/>
                <w:color w:val="000000"/>
                <w:sz w:val="18"/>
                <w:szCs w:val="18"/>
              </w:rPr>
            </w:pPr>
            <w:r>
              <w:rPr>
                <w:rFonts w:cs="Calibri"/>
                <w:color w:val="000000"/>
                <w:sz w:val="18"/>
                <w:szCs w:val="18"/>
              </w:rPr>
              <w:t>0.</w:t>
            </w:r>
            <w:r w:rsidR="00F12170">
              <w:rPr>
                <w:rFonts w:cs="Calibri"/>
                <w:color w:val="000000"/>
                <w:sz w:val="18"/>
                <w:szCs w:val="18"/>
              </w:rPr>
              <w:t>6318</w:t>
            </w:r>
          </w:p>
        </w:tc>
        <w:tc>
          <w:tcPr>
            <w:tcW w:w="904" w:type="dxa"/>
            <w:tcBorders>
              <w:top w:val="nil"/>
              <w:left w:val="nil"/>
              <w:bottom w:val="nil"/>
              <w:right w:val="nil"/>
            </w:tcBorders>
            <w:vAlign w:val="bottom"/>
          </w:tcPr>
          <w:p w14:paraId="0A4A953C" w14:textId="14C3D537" w:rsidR="000D5945" w:rsidRPr="00DF4351" w:rsidRDefault="000D5945">
            <w:pPr>
              <w:jc w:val="center"/>
              <w:rPr>
                <w:rFonts w:cs="Calibri"/>
                <w:color w:val="000000"/>
                <w:sz w:val="18"/>
                <w:szCs w:val="18"/>
              </w:rPr>
            </w:pPr>
            <w:r>
              <w:rPr>
                <w:rFonts w:cs="Calibri"/>
                <w:color w:val="000000"/>
                <w:sz w:val="18"/>
                <w:szCs w:val="18"/>
              </w:rPr>
              <w:t>0.</w:t>
            </w:r>
            <w:r w:rsidR="009414EA">
              <w:rPr>
                <w:rFonts w:cs="Calibri"/>
                <w:color w:val="000000"/>
                <w:sz w:val="18"/>
                <w:szCs w:val="18"/>
              </w:rPr>
              <w:t>6341</w:t>
            </w:r>
          </w:p>
        </w:tc>
        <w:tc>
          <w:tcPr>
            <w:tcW w:w="886" w:type="dxa"/>
            <w:tcBorders>
              <w:top w:val="nil"/>
              <w:left w:val="nil"/>
              <w:bottom w:val="nil"/>
            </w:tcBorders>
            <w:vAlign w:val="bottom"/>
          </w:tcPr>
          <w:p w14:paraId="6A4BD51E" w14:textId="63D305ED" w:rsidR="000D5945" w:rsidRPr="00DF4351" w:rsidRDefault="000D5945">
            <w:pPr>
              <w:jc w:val="center"/>
              <w:rPr>
                <w:rFonts w:cs="Calibri"/>
                <w:color w:val="000000"/>
                <w:sz w:val="18"/>
                <w:szCs w:val="18"/>
              </w:rPr>
            </w:pPr>
            <w:r>
              <w:rPr>
                <w:rFonts w:cs="Calibri"/>
                <w:color w:val="000000"/>
                <w:sz w:val="18"/>
                <w:szCs w:val="18"/>
              </w:rPr>
              <w:t>0.</w:t>
            </w:r>
            <w:r w:rsidR="009414EA">
              <w:rPr>
                <w:rFonts w:cs="Calibri"/>
                <w:color w:val="000000"/>
                <w:sz w:val="18"/>
                <w:szCs w:val="18"/>
              </w:rPr>
              <w:t>0381</w:t>
            </w:r>
          </w:p>
        </w:tc>
      </w:tr>
      <w:tr w:rsidR="000D5945" w14:paraId="3B378B06" w14:textId="77777777" w:rsidTr="00F154AD">
        <w:trPr>
          <w:jc w:val="center"/>
        </w:trPr>
        <w:tc>
          <w:tcPr>
            <w:tcW w:w="1252" w:type="dxa"/>
            <w:tcBorders>
              <w:top w:val="nil"/>
              <w:bottom w:val="single" w:sz="4" w:space="0" w:color="auto"/>
            </w:tcBorders>
            <w:vAlign w:val="bottom"/>
          </w:tcPr>
          <w:p w14:paraId="64480BAE" w14:textId="77777777" w:rsidR="000D5945" w:rsidRPr="00DF4351" w:rsidRDefault="000D5945" w:rsidP="00F154AD">
            <w:pPr>
              <w:rPr>
                <w:rFonts w:cs="Calibri"/>
                <w:color w:val="000000"/>
                <w:sz w:val="18"/>
                <w:szCs w:val="18"/>
              </w:rPr>
            </w:pPr>
          </w:p>
        </w:tc>
        <w:tc>
          <w:tcPr>
            <w:tcW w:w="1047" w:type="dxa"/>
            <w:tcBorders>
              <w:top w:val="nil"/>
              <w:bottom w:val="single" w:sz="4" w:space="0" w:color="auto"/>
              <w:right w:val="nil"/>
            </w:tcBorders>
            <w:vAlign w:val="bottom"/>
          </w:tcPr>
          <w:p w14:paraId="3AF4EEBF" w14:textId="77777777" w:rsidR="000D5945" w:rsidRPr="00DF4351" w:rsidRDefault="000D5945" w:rsidP="00F154AD">
            <w:pPr>
              <w:jc w:val="center"/>
              <w:rPr>
                <w:rFonts w:cs="Calibri"/>
                <w:color w:val="000000"/>
                <w:sz w:val="18"/>
                <w:szCs w:val="18"/>
              </w:rPr>
            </w:pPr>
          </w:p>
        </w:tc>
        <w:tc>
          <w:tcPr>
            <w:tcW w:w="935" w:type="dxa"/>
            <w:tcBorders>
              <w:top w:val="nil"/>
              <w:left w:val="nil"/>
              <w:bottom w:val="single" w:sz="4" w:space="0" w:color="auto"/>
              <w:right w:val="nil"/>
            </w:tcBorders>
            <w:vAlign w:val="bottom"/>
          </w:tcPr>
          <w:p w14:paraId="6177FBBD" w14:textId="77777777" w:rsidR="000D5945" w:rsidRPr="00DF4351" w:rsidRDefault="000D5945" w:rsidP="00F154AD">
            <w:pPr>
              <w:jc w:val="center"/>
              <w:rPr>
                <w:rFonts w:cs="Calibri"/>
                <w:color w:val="000000"/>
                <w:sz w:val="18"/>
                <w:szCs w:val="18"/>
              </w:rPr>
            </w:pPr>
          </w:p>
        </w:tc>
        <w:tc>
          <w:tcPr>
            <w:tcW w:w="913" w:type="dxa"/>
            <w:tcBorders>
              <w:top w:val="nil"/>
              <w:left w:val="nil"/>
              <w:bottom w:val="single" w:sz="4" w:space="0" w:color="auto"/>
            </w:tcBorders>
            <w:vAlign w:val="bottom"/>
          </w:tcPr>
          <w:p w14:paraId="53016025" w14:textId="77777777" w:rsidR="000D5945" w:rsidRPr="00DF4351" w:rsidRDefault="000D5945" w:rsidP="00F154AD">
            <w:pPr>
              <w:jc w:val="center"/>
              <w:rPr>
                <w:rFonts w:cs="Calibri"/>
                <w:color w:val="000000"/>
                <w:sz w:val="18"/>
                <w:szCs w:val="18"/>
              </w:rPr>
            </w:pPr>
          </w:p>
        </w:tc>
        <w:tc>
          <w:tcPr>
            <w:tcW w:w="1174" w:type="dxa"/>
            <w:tcBorders>
              <w:top w:val="nil"/>
              <w:bottom w:val="single" w:sz="4" w:space="0" w:color="auto"/>
              <w:right w:val="nil"/>
            </w:tcBorders>
            <w:vAlign w:val="bottom"/>
          </w:tcPr>
          <w:p w14:paraId="76D24727" w14:textId="77777777" w:rsidR="000D5945" w:rsidRPr="00DF4351" w:rsidRDefault="000D5945" w:rsidP="00F154AD">
            <w:pPr>
              <w:jc w:val="center"/>
              <w:rPr>
                <w:rFonts w:cs="Calibri"/>
                <w:color w:val="000000"/>
                <w:sz w:val="18"/>
                <w:szCs w:val="18"/>
              </w:rPr>
            </w:pPr>
          </w:p>
        </w:tc>
        <w:tc>
          <w:tcPr>
            <w:tcW w:w="904" w:type="dxa"/>
            <w:tcBorders>
              <w:top w:val="nil"/>
              <w:left w:val="nil"/>
              <w:bottom w:val="single" w:sz="4" w:space="0" w:color="auto"/>
              <w:right w:val="nil"/>
            </w:tcBorders>
            <w:vAlign w:val="bottom"/>
          </w:tcPr>
          <w:p w14:paraId="7C008997" w14:textId="77777777" w:rsidR="000D5945" w:rsidRPr="00DF4351" w:rsidRDefault="000D5945" w:rsidP="00F154AD">
            <w:pPr>
              <w:jc w:val="center"/>
              <w:rPr>
                <w:rFonts w:cs="Calibri"/>
                <w:color w:val="000000"/>
                <w:sz w:val="18"/>
                <w:szCs w:val="18"/>
              </w:rPr>
            </w:pPr>
          </w:p>
        </w:tc>
        <w:tc>
          <w:tcPr>
            <w:tcW w:w="886" w:type="dxa"/>
            <w:tcBorders>
              <w:top w:val="nil"/>
              <w:left w:val="nil"/>
              <w:bottom w:val="single" w:sz="4" w:space="0" w:color="auto"/>
            </w:tcBorders>
            <w:vAlign w:val="bottom"/>
          </w:tcPr>
          <w:p w14:paraId="3BAB71BF" w14:textId="77777777" w:rsidR="000D5945" w:rsidRPr="00DF4351" w:rsidRDefault="000D5945" w:rsidP="00F154AD">
            <w:pPr>
              <w:jc w:val="center"/>
              <w:rPr>
                <w:rFonts w:cs="Calibri"/>
                <w:color w:val="000000"/>
                <w:sz w:val="18"/>
                <w:szCs w:val="18"/>
              </w:rPr>
            </w:pPr>
          </w:p>
        </w:tc>
      </w:tr>
      <w:tr w:rsidR="000D5945" w14:paraId="4C2011AA" w14:textId="77777777" w:rsidTr="00F154AD">
        <w:trPr>
          <w:jc w:val="center"/>
        </w:trPr>
        <w:tc>
          <w:tcPr>
            <w:tcW w:w="1252" w:type="dxa"/>
            <w:tcBorders>
              <w:bottom w:val="nil"/>
            </w:tcBorders>
          </w:tcPr>
          <w:p w14:paraId="5CDD2877" w14:textId="77777777" w:rsidR="000D5945" w:rsidRPr="0043487C" w:rsidRDefault="000D5945" w:rsidP="00F154AD">
            <w:pPr>
              <w:jc w:val="center"/>
              <w:rPr>
                <w:sz w:val="18"/>
                <w:szCs w:val="18"/>
              </w:rPr>
            </w:pPr>
          </w:p>
        </w:tc>
        <w:tc>
          <w:tcPr>
            <w:tcW w:w="2895" w:type="dxa"/>
            <w:gridSpan w:val="3"/>
            <w:tcBorders>
              <w:bottom w:val="nil"/>
            </w:tcBorders>
          </w:tcPr>
          <w:p w14:paraId="2B663B6B" w14:textId="77777777" w:rsidR="000D5945" w:rsidRPr="0043487C" w:rsidRDefault="000D5945" w:rsidP="00F154AD">
            <w:pPr>
              <w:jc w:val="center"/>
              <w:rPr>
                <w:sz w:val="18"/>
                <w:szCs w:val="18"/>
              </w:rPr>
            </w:pPr>
            <w:r w:rsidRPr="0043487C">
              <w:rPr>
                <w:sz w:val="18"/>
                <w:szCs w:val="18"/>
              </w:rPr>
              <w:t>Crisis 1</w:t>
            </w:r>
          </w:p>
        </w:tc>
        <w:tc>
          <w:tcPr>
            <w:tcW w:w="2964" w:type="dxa"/>
            <w:gridSpan w:val="3"/>
            <w:tcBorders>
              <w:bottom w:val="nil"/>
            </w:tcBorders>
          </w:tcPr>
          <w:p w14:paraId="0C0237B7" w14:textId="77777777" w:rsidR="000D5945" w:rsidRPr="0043487C" w:rsidRDefault="000D5945" w:rsidP="00F154AD">
            <w:pPr>
              <w:jc w:val="center"/>
              <w:rPr>
                <w:sz w:val="18"/>
                <w:szCs w:val="18"/>
              </w:rPr>
            </w:pPr>
            <w:r w:rsidRPr="0043487C">
              <w:rPr>
                <w:sz w:val="18"/>
                <w:szCs w:val="18"/>
              </w:rPr>
              <w:t>Crisis 1</w:t>
            </w:r>
          </w:p>
        </w:tc>
      </w:tr>
      <w:tr w:rsidR="000D5945" w14:paraId="4C9A91F6" w14:textId="77777777" w:rsidTr="00F154AD">
        <w:trPr>
          <w:jc w:val="center"/>
        </w:trPr>
        <w:tc>
          <w:tcPr>
            <w:tcW w:w="1252" w:type="dxa"/>
            <w:tcBorders>
              <w:top w:val="nil"/>
              <w:bottom w:val="nil"/>
            </w:tcBorders>
          </w:tcPr>
          <w:p w14:paraId="05528AB7" w14:textId="77777777" w:rsidR="000D5945" w:rsidRPr="0043487C" w:rsidRDefault="000D5945" w:rsidP="00F154AD">
            <w:pPr>
              <w:jc w:val="center"/>
              <w:rPr>
                <w:sz w:val="18"/>
                <w:szCs w:val="18"/>
              </w:rPr>
            </w:pPr>
          </w:p>
        </w:tc>
        <w:tc>
          <w:tcPr>
            <w:tcW w:w="2895" w:type="dxa"/>
            <w:gridSpan w:val="3"/>
            <w:tcBorders>
              <w:top w:val="nil"/>
              <w:bottom w:val="nil"/>
            </w:tcBorders>
          </w:tcPr>
          <w:p w14:paraId="4AA04DCB" w14:textId="77777777" w:rsidR="000D5945" w:rsidRPr="0043487C" w:rsidRDefault="000D5945" w:rsidP="00F154AD">
            <w:pPr>
              <w:jc w:val="center"/>
              <w:rPr>
                <w:sz w:val="18"/>
                <w:szCs w:val="18"/>
              </w:rPr>
            </w:pPr>
            <w:r>
              <w:rPr>
                <w:sz w:val="18"/>
                <w:szCs w:val="18"/>
              </w:rPr>
              <w:t>9-Aug-07 -</w:t>
            </w:r>
            <w:r w:rsidRPr="001A1587">
              <w:rPr>
                <w:sz w:val="18"/>
                <w:szCs w:val="18"/>
              </w:rPr>
              <w:t xml:space="preserve"> 12-Sep-08</w:t>
            </w:r>
          </w:p>
        </w:tc>
        <w:tc>
          <w:tcPr>
            <w:tcW w:w="2964" w:type="dxa"/>
            <w:gridSpan w:val="3"/>
            <w:tcBorders>
              <w:top w:val="nil"/>
              <w:bottom w:val="nil"/>
            </w:tcBorders>
          </w:tcPr>
          <w:p w14:paraId="02D5513F" w14:textId="77777777" w:rsidR="000D5945" w:rsidRPr="0043487C" w:rsidRDefault="000D5945" w:rsidP="00F154AD">
            <w:pPr>
              <w:jc w:val="center"/>
              <w:rPr>
                <w:sz w:val="18"/>
                <w:szCs w:val="18"/>
              </w:rPr>
            </w:pPr>
            <w:r>
              <w:rPr>
                <w:sz w:val="18"/>
                <w:szCs w:val="18"/>
              </w:rPr>
              <w:t>9-Aug-07 -</w:t>
            </w:r>
            <w:r w:rsidRPr="001A1587">
              <w:rPr>
                <w:sz w:val="18"/>
                <w:szCs w:val="18"/>
              </w:rPr>
              <w:t xml:space="preserve"> 12-Sep-08</w:t>
            </w:r>
          </w:p>
        </w:tc>
      </w:tr>
      <w:tr w:rsidR="000D5945" w14:paraId="60991E02" w14:textId="77777777" w:rsidTr="00F154AD">
        <w:trPr>
          <w:jc w:val="center"/>
        </w:trPr>
        <w:tc>
          <w:tcPr>
            <w:tcW w:w="1252" w:type="dxa"/>
            <w:tcBorders>
              <w:top w:val="nil"/>
              <w:bottom w:val="nil"/>
            </w:tcBorders>
          </w:tcPr>
          <w:p w14:paraId="60DE6D6C" w14:textId="77777777" w:rsidR="000D5945" w:rsidRPr="0043487C" w:rsidRDefault="000D5945" w:rsidP="00F154AD">
            <w:pPr>
              <w:jc w:val="center"/>
              <w:rPr>
                <w:sz w:val="18"/>
                <w:szCs w:val="18"/>
              </w:rPr>
            </w:pPr>
          </w:p>
        </w:tc>
        <w:tc>
          <w:tcPr>
            <w:tcW w:w="2895" w:type="dxa"/>
            <w:gridSpan w:val="3"/>
            <w:tcBorders>
              <w:top w:val="nil"/>
              <w:bottom w:val="nil"/>
            </w:tcBorders>
          </w:tcPr>
          <w:p w14:paraId="5018BE05" w14:textId="77777777" w:rsidR="000D5945" w:rsidRDefault="000D5945" w:rsidP="00F154AD">
            <w:pPr>
              <w:jc w:val="center"/>
              <w:rPr>
                <w:sz w:val="18"/>
                <w:szCs w:val="18"/>
              </w:rPr>
            </w:pPr>
          </w:p>
        </w:tc>
        <w:tc>
          <w:tcPr>
            <w:tcW w:w="2964" w:type="dxa"/>
            <w:gridSpan w:val="3"/>
            <w:tcBorders>
              <w:top w:val="nil"/>
              <w:bottom w:val="nil"/>
            </w:tcBorders>
          </w:tcPr>
          <w:p w14:paraId="603EB456" w14:textId="77777777" w:rsidR="000D5945" w:rsidRDefault="000D5945" w:rsidP="00F154AD">
            <w:pPr>
              <w:jc w:val="center"/>
              <w:rPr>
                <w:sz w:val="18"/>
                <w:szCs w:val="18"/>
              </w:rPr>
            </w:pPr>
          </w:p>
        </w:tc>
      </w:tr>
      <w:tr w:rsidR="000D5945" w14:paraId="06AE7CED" w14:textId="77777777" w:rsidTr="00F154AD">
        <w:trPr>
          <w:jc w:val="center"/>
        </w:trPr>
        <w:tc>
          <w:tcPr>
            <w:tcW w:w="1252" w:type="dxa"/>
            <w:tcBorders>
              <w:top w:val="nil"/>
              <w:bottom w:val="nil"/>
            </w:tcBorders>
            <w:vAlign w:val="bottom"/>
          </w:tcPr>
          <w:p w14:paraId="6D21199A" w14:textId="77777777" w:rsidR="000D5945" w:rsidRPr="00DF4351" w:rsidRDefault="000D5945" w:rsidP="00F154AD">
            <w:pPr>
              <w:rPr>
                <w:rFonts w:cs="Calibri"/>
                <w:color w:val="000000"/>
                <w:sz w:val="18"/>
                <w:szCs w:val="18"/>
              </w:rPr>
            </w:pPr>
            <w:r>
              <w:rPr>
                <w:rFonts w:cs="Calibri"/>
                <w:color w:val="000000"/>
                <w:sz w:val="18"/>
                <w:szCs w:val="18"/>
              </w:rPr>
              <w:t>C</w:t>
            </w:r>
            <w:r w:rsidRPr="00DF4351">
              <w:rPr>
                <w:rFonts w:cs="Calibri"/>
                <w:color w:val="000000"/>
                <w:sz w:val="18"/>
                <w:szCs w:val="18"/>
              </w:rPr>
              <w:t>C</w:t>
            </w:r>
          </w:p>
        </w:tc>
        <w:tc>
          <w:tcPr>
            <w:tcW w:w="1047" w:type="dxa"/>
            <w:tcBorders>
              <w:top w:val="nil"/>
              <w:bottom w:val="nil"/>
              <w:right w:val="nil"/>
            </w:tcBorders>
            <w:vAlign w:val="bottom"/>
          </w:tcPr>
          <w:p w14:paraId="29E011D9" w14:textId="3EA2E4B7" w:rsidR="000D5945" w:rsidRDefault="000D5945">
            <w:pPr>
              <w:jc w:val="center"/>
              <w:rPr>
                <w:rFonts w:cs="Arial"/>
                <w:color w:val="000000"/>
                <w:sz w:val="18"/>
                <w:szCs w:val="18"/>
              </w:rPr>
            </w:pPr>
            <w:r>
              <w:rPr>
                <w:rFonts w:cs="Arial"/>
                <w:color w:val="000000"/>
                <w:sz w:val="18"/>
                <w:szCs w:val="18"/>
              </w:rPr>
              <w:t>0.</w:t>
            </w:r>
            <w:r w:rsidR="00995482">
              <w:rPr>
                <w:rFonts w:cs="Arial"/>
                <w:color w:val="000000"/>
                <w:sz w:val="18"/>
                <w:szCs w:val="18"/>
              </w:rPr>
              <w:t>1135</w:t>
            </w:r>
            <w:r w:rsidR="004557F8">
              <w:rPr>
                <w:rFonts w:cs="Arial"/>
                <w:color w:val="000000"/>
                <w:sz w:val="18"/>
                <w:szCs w:val="18"/>
              </w:rPr>
              <w:t>***</w:t>
            </w:r>
          </w:p>
        </w:tc>
        <w:tc>
          <w:tcPr>
            <w:tcW w:w="935" w:type="dxa"/>
            <w:tcBorders>
              <w:top w:val="nil"/>
              <w:left w:val="nil"/>
              <w:bottom w:val="nil"/>
              <w:right w:val="nil"/>
            </w:tcBorders>
            <w:vAlign w:val="bottom"/>
          </w:tcPr>
          <w:p w14:paraId="141970B3" w14:textId="3569E28A" w:rsidR="000D5945" w:rsidRDefault="000D5945">
            <w:pPr>
              <w:jc w:val="center"/>
              <w:rPr>
                <w:rFonts w:cs="Arial"/>
                <w:color w:val="000000"/>
                <w:sz w:val="18"/>
                <w:szCs w:val="18"/>
              </w:rPr>
            </w:pPr>
            <w:r>
              <w:rPr>
                <w:rFonts w:cs="Arial"/>
                <w:color w:val="000000"/>
                <w:sz w:val="18"/>
                <w:szCs w:val="18"/>
              </w:rPr>
              <w:t>0.</w:t>
            </w:r>
            <w:r w:rsidR="00995482">
              <w:rPr>
                <w:rFonts w:cs="Arial"/>
                <w:color w:val="000000"/>
                <w:sz w:val="18"/>
                <w:szCs w:val="18"/>
              </w:rPr>
              <w:t>1026</w:t>
            </w:r>
          </w:p>
        </w:tc>
        <w:tc>
          <w:tcPr>
            <w:tcW w:w="913" w:type="dxa"/>
            <w:tcBorders>
              <w:top w:val="nil"/>
              <w:left w:val="nil"/>
              <w:bottom w:val="nil"/>
            </w:tcBorders>
            <w:vAlign w:val="bottom"/>
          </w:tcPr>
          <w:p w14:paraId="2F0545B7" w14:textId="4A61C630" w:rsidR="000D5945" w:rsidRDefault="000D5945">
            <w:pPr>
              <w:jc w:val="center"/>
              <w:rPr>
                <w:rFonts w:cs="Arial"/>
                <w:color w:val="000000"/>
                <w:sz w:val="18"/>
                <w:szCs w:val="18"/>
              </w:rPr>
            </w:pPr>
            <w:r>
              <w:rPr>
                <w:rFonts w:cs="Arial"/>
                <w:color w:val="000000"/>
                <w:sz w:val="18"/>
                <w:szCs w:val="18"/>
              </w:rPr>
              <w:t>0.</w:t>
            </w:r>
            <w:r w:rsidR="00821206">
              <w:rPr>
                <w:rFonts w:cs="Arial"/>
                <w:color w:val="000000"/>
                <w:sz w:val="18"/>
                <w:szCs w:val="18"/>
              </w:rPr>
              <w:t>0516</w:t>
            </w:r>
          </w:p>
        </w:tc>
        <w:tc>
          <w:tcPr>
            <w:tcW w:w="1174" w:type="dxa"/>
            <w:tcBorders>
              <w:top w:val="nil"/>
              <w:bottom w:val="nil"/>
              <w:right w:val="nil"/>
            </w:tcBorders>
            <w:vAlign w:val="bottom"/>
          </w:tcPr>
          <w:p w14:paraId="78504A47" w14:textId="4F81A1BA" w:rsidR="000D5945" w:rsidRDefault="000D5945">
            <w:pPr>
              <w:jc w:val="center"/>
              <w:rPr>
                <w:rFonts w:cs="Arial"/>
                <w:color w:val="000000"/>
                <w:sz w:val="18"/>
                <w:szCs w:val="18"/>
              </w:rPr>
            </w:pPr>
            <w:r>
              <w:rPr>
                <w:rFonts w:cs="Arial"/>
                <w:color w:val="000000"/>
                <w:sz w:val="18"/>
                <w:szCs w:val="18"/>
              </w:rPr>
              <w:t>0.</w:t>
            </w:r>
            <w:r w:rsidR="00DA4D81">
              <w:rPr>
                <w:rFonts w:cs="Arial"/>
                <w:color w:val="000000"/>
                <w:sz w:val="18"/>
                <w:szCs w:val="18"/>
              </w:rPr>
              <w:t>3601</w:t>
            </w:r>
          </w:p>
        </w:tc>
        <w:tc>
          <w:tcPr>
            <w:tcW w:w="904" w:type="dxa"/>
            <w:tcBorders>
              <w:top w:val="nil"/>
              <w:left w:val="nil"/>
              <w:bottom w:val="nil"/>
              <w:right w:val="nil"/>
            </w:tcBorders>
            <w:vAlign w:val="bottom"/>
          </w:tcPr>
          <w:p w14:paraId="3B3E8CF7" w14:textId="6DCF04C5" w:rsidR="000D5945" w:rsidRDefault="000D5945">
            <w:pPr>
              <w:jc w:val="center"/>
              <w:rPr>
                <w:rFonts w:cs="Arial"/>
                <w:color w:val="000000"/>
                <w:sz w:val="18"/>
                <w:szCs w:val="18"/>
              </w:rPr>
            </w:pPr>
            <w:r>
              <w:rPr>
                <w:rFonts w:cs="Arial"/>
                <w:color w:val="000000"/>
                <w:sz w:val="18"/>
                <w:szCs w:val="18"/>
              </w:rPr>
              <w:t>0.</w:t>
            </w:r>
            <w:r w:rsidR="00DA4D81">
              <w:rPr>
                <w:rFonts w:cs="Arial"/>
                <w:color w:val="000000"/>
                <w:sz w:val="18"/>
                <w:szCs w:val="18"/>
              </w:rPr>
              <w:t>3651</w:t>
            </w:r>
          </w:p>
        </w:tc>
        <w:tc>
          <w:tcPr>
            <w:tcW w:w="886" w:type="dxa"/>
            <w:tcBorders>
              <w:top w:val="nil"/>
              <w:left w:val="nil"/>
              <w:bottom w:val="nil"/>
            </w:tcBorders>
            <w:vAlign w:val="bottom"/>
          </w:tcPr>
          <w:p w14:paraId="69B2AD47" w14:textId="78BDB797" w:rsidR="000D5945" w:rsidRDefault="000D5945">
            <w:pPr>
              <w:jc w:val="center"/>
              <w:rPr>
                <w:rFonts w:cs="Arial"/>
                <w:color w:val="000000"/>
                <w:sz w:val="18"/>
                <w:szCs w:val="18"/>
              </w:rPr>
            </w:pPr>
            <w:r>
              <w:rPr>
                <w:rFonts w:cs="Arial"/>
                <w:color w:val="000000"/>
                <w:sz w:val="18"/>
                <w:szCs w:val="18"/>
              </w:rPr>
              <w:t>0.</w:t>
            </w:r>
            <w:r w:rsidR="00DA4D81">
              <w:rPr>
                <w:rFonts w:cs="Arial"/>
                <w:color w:val="000000"/>
                <w:sz w:val="18"/>
                <w:szCs w:val="18"/>
              </w:rPr>
              <w:t>0277</w:t>
            </w:r>
          </w:p>
        </w:tc>
      </w:tr>
      <w:tr w:rsidR="000D5945" w14:paraId="1888A300" w14:textId="77777777" w:rsidTr="00F154AD">
        <w:trPr>
          <w:jc w:val="center"/>
        </w:trPr>
        <w:tc>
          <w:tcPr>
            <w:tcW w:w="1252" w:type="dxa"/>
            <w:tcBorders>
              <w:top w:val="nil"/>
              <w:bottom w:val="nil"/>
            </w:tcBorders>
            <w:vAlign w:val="bottom"/>
          </w:tcPr>
          <w:p w14:paraId="6EFB346F" w14:textId="77777777" w:rsidR="000D5945" w:rsidRPr="00DF4351" w:rsidRDefault="000D5945" w:rsidP="00F154AD">
            <w:pPr>
              <w:rPr>
                <w:rFonts w:cs="Calibri"/>
                <w:color w:val="000000"/>
                <w:sz w:val="18"/>
                <w:szCs w:val="18"/>
              </w:rPr>
            </w:pPr>
            <w:r w:rsidRPr="00DF4351">
              <w:rPr>
                <w:rFonts w:cs="Calibri"/>
                <w:color w:val="000000"/>
                <w:sz w:val="18"/>
                <w:szCs w:val="18"/>
              </w:rPr>
              <w:t>Closeness</w:t>
            </w:r>
          </w:p>
        </w:tc>
        <w:tc>
          <w:tcPr>
            <w:tcW w:w="1047" w:type="dxa"/>
            <w:tcBorders>
              <w:top w:val="nil"/>
              <w:bottom w:val="nil"/>
              <w:right w:val="nil"/>
            </w:tcBorders>
            <w:vAlign w:val="bottom"/>
          </w:tcPr>
          <w:p w14:paraId="36178A33" w14:textId="7EA1A1DB" w:rsidR="000D5945" w:rsidRPr="0043487C" w:rsidRDefault="000D5945">
            <w:pPr>
              <w:jc w:val="center"/>
              <w:rPr>
                <w:rFonts w:cs="Calibri"/>
                <w:color w:val="000000"/>
                <w:sz w:val="18"/>
                <w:szCs w:val="18"/>
              </w:rPr>
            </w:pPr>
            <w:r w:rsidRPr="0043487C">
              <w:rPr>
                <w:rFonts w:cs="Calibri"/>
                <w:color w:val="000000"/>
                <w:sz w:val="18"/>
                <w:szCs w:val="18"/>
              </w:rPr>
              <w:t>0.</w:t>
            </w:r>
            <w:r w:rsidR="00995482">
              <w:rPr>
                <w:rFonts w:cs="Calibri"/>
                <w:color w:val="000000"/>
                <w:sz w:val="18"/>
                <w:szCs w:val="18"/>
              </w:rPr>
              <w:t>0564</w:t>
            </w:r>
          </w:p>
        </w:tc>
        <w:tc>
          <w:tcPr>
            <w:tcW w:w="935" w:type="dxa"/>
            <w:tcBorders>
              <w:top w:val="nil"/>
              <w:left w:val="nil"/>
              <w:bottom w:val="nil"/>
              <w:right w:val="nil"/>
            </w:tcBorders>
            <w:vAlign w:val="bottom"/>
          </w:tcPr>
          <w:p w14:paraId="401D9461" w14:textId="7F8291F1" w:rsidR="000D5945" w:rsidRPr="0043487C" w:rsidRDefault="000D5945">
            <w:pPr>
              <w:jc w:val="center"/>
              <w:rPr>
                <w:rFonts w:cs="Calibri"/>
                <w:color w:val="000000"/>
                <w:sz w:val="18"/>
                <w:szCs w:val="18"/>
              </w:rPr>
            </w:pPr>
            <w:r w:rsidRPr="0043487C">
              <w:rPr>
                <w:rFonts w:cs="Calibri"/>
                <w:color w:val="000000"/>
                <w:sz w:val="18"/>
                <w:szCs w:val="18"/>
              </w:rPr>
              <w:t>0.</w:t>
            </w:r>
            <w:r w:rsidR="00995482">
              <w:rPr>
                <w:rFonts w:cs="Calibri"/>
                <w:color w:val="000000"/>
                <w:sz w:val="18"/>
                <w:szCs w:val="18"/>
              </w:rPr>
              <w:t>0574</w:t>
            </w:r>
          </w:p>
        </w:tc>
        <w:tc>
          <w:tcPr>
            <w:tcW w:w="913" w:type="dxa"/>
            <w:tcBorders>
              <w:top w:val="nil"/>
              <w:left w:val="nil"/>
              <w:bottom w:val="nil"/>
            </w:tcBorders>
            <w:vAlign w:val="bottom"/>
          </w:tcPr>
          <w:p w14:paraId="49D21C83" w14:textId="45E00901" w:rsidR="000D5945" w:rsidRPr="0043487C" w:rsidRDefault="000D5945">
            <w:pPr>
              <w:jc w:val="center"/>
              <w:rPr>
                <w:rFonts w:cs="Calibri"/>
                <w:color w:val="000000"/>
                <w:sz w:val="18"/>
                <w:szCs w:val="18"/>
              </w:rPr>
            </w:pPr>
            <w:r w:rsidRPr="0043487C">
              <w:rPr>
                <w:rFonts w:cs="Calibri"/>
                <w:color w:val="000000"/>
                <w:sz w:val="18"/>
                <w:szCs w:val="18"/>
              </w:rPr>
              <w:t>0.</w:t>
            </w:r>
            <w:r w:rsidR="00821206">
              <w:rPr>
                <w:rFonts w:cs="Calibri"/>
                <w:color w:val="000000"/>
                <w:sz w:val="18"/>
                <w:szCs w:val="18"/>
              </w:rPr>
              <w:t>0192</w:t>
            </w:r>
          </w:p>
        </w:tc>
        <w:tc>
          <w:tcPr>
            <w:tcW w:w="1174" w:type="dxa"/>
            <w:tcBorders>
              <w:top w:val="nil"/>
              <w:bottom w:val="nil"/>
              <w:right w:val="nil"/>
            </w:tcBorders>
            <w:vAlign w:val="bottom"/>
          </w:tcPr>
          <w:p w14:paraId="1C9CAE2D" w14:textId="006E2AD8" w:rsidR="000D5945" w:rsidRPr="000A6D4C" w:rsidRDefault="00DA4D81" w:rsidP="00F154AD">
            <w:pPr>
              <w:jc w:val="center"/>
              <w:rPr>
                <w:rFonts w:cs="Calibri"/>
                <w:color w:val="000000"/>
                <w:sz w:val="18"/>
                <w:szCs w:val="18"/>
              </w:rPr>
            </w:pPr>
            <w:r>
              <w:rPr>
                <w:rFonts w:cs="Calibri"/>
                <w:color w:val="000000"/>
                <w:sz w:val="18"/>
                <w:szCs w:val="18"/>
              </w:rPr>
              <w:t>0.0063</w:t>
            </w:r>
          </w:p>
        </w:tc>
        <w:tc>
          <w:tcPr>
            <w:tcW w:w="904" w:type="dxa"/>
            <w:tcBorders>
              <w:top w:val="nil"/>
              <w:left w:val="nil"/>
              <w:bottom w:val="nil"/>
              <w:right w:val="nil"/>
            </w:tcBorders>
            <w:vAlign w:val="bottom"/>
          </w:tcPr>
          <w:p w14:paraId="41D2ACFE" w14:textId="492B2A60" w:rsidR="000D5945" w:rsidRPr="000A6D4C" w:rsidRDefault="000D5945" w:rsidP="00F154AD">
            <w:pPr>
              <w:jc w:val="center"/>
              <w:rPr>
                <w:rFonts w:cs="Calibri"/>
                <w:color w:val="000000"/>
                <w:sz w:val="18"/>
                <w:szCs w:val="18"/>
              </w:rPr>
            </w:pPr>
            <w:r w:rsidRPr="000A6D4C">
              <w:rPr>
                <w:rFonts w:cs="Calibri"/>
                <w:color w:val="000000"/>
                <w:sz w:val="18"/>
                <w:szCs w:val="18"/>
              </w:rPr>
              <w:t>0.</w:t>
            </w:r>
            <w:r w:rsidR="00DA4D81">
              <w:rPr>
                <w:rFonts w:cs="Calibri"/>
                <w:color w:val="000000"/>
                <w:sz w:val="18"/>
                <w:szCs w:val="18"/>
              </w:rPr>
              <w:t>0066</w:t>
            </w:r>
          </w:p>
        </w:tc>
        <w:tc>
          <w:tcPr>
            <w:tcW w:w="886" w:type="dxa"/>
            <w:tcBorders>
              <w:top w:val="nil"/>
              <w:left w:val="nil"/>
              <w:bottom w:val="nil"/>
            </w:tcBorders>
            <w:vAlign w:val="bottom"/>
          </w:tcPr>
          <w:p w14:paraId="4A437267" w14:textId="3E1E0B7F" w:rsidR="000D5945" w:rsidRPr="000A6D4C" w:rsidRDefault="000D5945">
            <w:pPr>
              <w:jc w:val="center"/>
              <w:rPr>
                <w:rFonts w:cs="Calibri"/>
                <w:color w:val="000000"/>
                <w:sz w:val="18"/>
                <w:szCs w:val="18"/>
              </w:rPr>
            </w:pPr>
            <w:r w:rsidRPr="000A6D4C">
              <w:rPr>
                <w:rFonts w:cs="Calibri"/>
                <w:color w:val="000000"/>
                <w:sz w:val="18"/>
                <w:szCs w:val="18"/>
              </w:rPr>
              <w:t>0.</w:t>
            </w:r>
            <w:r w:rsidR="00DA4D81">
              <w:rPr>
                <w:rFonts w:cs="Calibri"/>
                <w:color w:val="000000"/>
                <w:sz w:val="18"/>
                <w:szCs w:val="18"/>
              </w:rPr>
              <w:t>0007</w:t>
            </w:r>
          </w:p>
        </w:tc>
      </w:tr>
      <w:tr w:rsidR="000D5945" w14:paraId="5C7666CD" w14:textId="77777777" w:rsidTr="00F154AD">
        <w:trPr>
          <w:jc w:val="center"/>
        </w:trPr>
        <w:tc>
          <w:tcPr>
            <w:tcW w:w="1252" w:type="dxa"/>
            <w:tcBorders>
              <w:top w:val="nil"/>
              <w:bottom w:val="nil"/>
            </w:tcBorders>
            <w:vAlign w:val="bottom"/>
          </w:tcPr>
          <w:p w14:paraId="4CE1F8B6" w14:textId="77777777" w:rsidR="000D5945" w:rsidRPr="00DF4351" w:rsidRDefault="000D5945" w:rsidP="00F154AD">
            <w:pPr>
              <w:rPr>
                <w:rFonts w:cs="Calibri"/>
                <w:color w:val="000000"/>
                <w:sz w:val="18"/>
                <w:szCs w:val="18"/>
              </w:rPr>
            </w:pPr>
            <w:r>
              <w:rPr>
                <w:rFonts w:cs="Calibri"/>
                <w:color w:val="000000"/>
                <w:sz w:val="18"/>
                <w:szCs w:val="18"/>
              </w:rPr>
              <w:t>Degree</w:t>
            </w:r>
          </w:p>
        </w:tc>
        <w:tc>
          <w:tcPr>
            <w:tcW w:w="1047" w:type="dxa"/>
            <w:tcBorders>
              <w:top w:val="nil"/>
              <w:bottom w:val="nil"/>
              <w:right w:val="nil"/>
            </w:tcBorders>
            <w:vAlign w:val="bottom"/>
          </w:tcPr>
          <w:p w14:paraId="140F436C" w14:textId="447E9357" w:rsidR="000D5945" w:rsidRPr="0043487C" w:rsidRDefault="000D5945">
            <w:pPr>
              <w:jc w:val="center"/>
              <w:rPr>
                <w:rFonts w:cs="Calibri"/>
                <w:color w:val="000000"/>
                <w:sz w:val="18"/>
                <w:szCs w:val="18"/>
              </w:rPr>
            </w:pPr>
            <w:r w:rsidRPr="0043487C">
              <w:rPr>
                <w:rFonts w:cs="Calibri"/>
                <w:color w:val="000000"/>
                <w:sz w:val="18"/>
                <w:szCs w:val="18"/>
              </w:rPr>
              <w:t>0.</w:t>
            </w:r>
            <w:r w:rsidR="00995482">
              <w:rPr>
                <w:rFonts w:cs="Calibri"/>
                <w:color w:val="000000"/>
                <w:sz w:val="18"/>
                <w:szCs w:val="18"/>
              </w:rPr>
              <w:t>0721</w:t>
            </w:r>
            <w:r w:rsidR="004557F8">
              <w:rPr>
                <w:rFonts w:cs="Calibri"/>
                <w:color w:val="000000"/>
                <w:sz w:val="18"/>
                <w:szCs w:val="18"/>
              </w:rPr>
              <w:t>*</w:t>
            </w:r>
          </w:p>
        </w:tc>
        <w:tc>
          <w:tcPr>
            <w:tcW w:w="935" w:type="dxa"/>
            <w:tcBorders>
              <w:top w:val="nil"/>
              <w:left w:val="nil"/>
              <w:bottom w:val="nil"/>
              <w:right w:val="nil"/>
            </w:tcBorders>
            <w:vAlign w:val="bottom"/>
          </w:tcPr>
          <w:p w14:paraId="289A4FE4" w14:textId="15D7681F" w:rsidR="000D5945" w:rsidRPr="0043487C" w:rsidRDefault="000D5945">
            <w:pPr>
              <w:jc w:val="center"/>
              <w:rPr>
                <w:rFonts w:cs="Calibri"/>
                <w:color w:val="000000"/>
                <w:sz w:val="18"/>
                <w:szCs w:val="18"/>
              </w:rPr>
            </w:pPr>
            <w:r w:rsidRPr="0043487C">
              <w:rPr>
                <w:rFonts w:cs="Calibri"/>
                <w:color w:val="000000"/>
                <w:sz w:val="18"/>
                <w:szCs w:val="18"/>
              </w:rPr>
              <w:t>0.</w:t>
            </w:r>
            <w:r w:rsidR="00995482">
              <w:rPr>
                <w:rFonts w:cs="Calibri"/>
                <w:color w:val="000000"/>
                <w:sz w:val="18"/>
                <w:szCs w:val="18"/>
              </w:rPr>
              <w:t>0583</w:t>
            </w:r>
          </w:p>
        </w:tc>
        <w:tc>
          <w:tcPr>
            <w:tcW w:w="913" w:type="dxa"/>
            <w:tcBorders>
              <w:top w:val="nil"/>
              <w:left w:val="nil"/>
              <w:bottom w:val="nil"/>
            </w:tcBorders>
            <w:vAlign w:val="bottom"/>
          </w:tcPr>
          <w:p w14:paraId="42F7A682" w14:textId="01295388" w:rsidR="000D5945" w:rsidRPr="0043487C" w:rsidRDefault="000D5945">
            <w:pPr>
              <w:jc w:val="center"/>
              <w:rPr>
                <w:rFonts w:cs="Calibri"/>
                <w:color w:val="000000"/>
                <w:sz w:val="18"/>
                <w:szCs w:val="18"/>
              </w:rPr>
            </w:pPr>
            <w:r w:rsidRPr="0043487C">
              <w:rPr>
                <w:rFonts w:cs="Calibri"/>
                <w:color w:val="000000"/>
                <w:sz w:val="18"/>
                <w:szCs w:val="18"/>
              </w:rPr>
              <w:t>0.</w:t>
            </w:r>
            <w:r w:rsidR="00821206">
              <w:rPr>
                <w:rFonts w:cs="Calibri"/>
                <w:color w:val="000000"/>
                <w:sz w:val="18"/>
                <w:szCs w:val="18"/>
              </w:rPr>
              <w:t>0365</w:t>
            </w:r>
          </w:p>
        </w:tc>
        <w:tc>
          <w:tcPr>
            <w:tcW w:w="1174" w:type="dxa"/>
            <w:tcBorders>
              <w:top w:val="nil"/>
              <w:bottom w:val="nil"/>
              <w:right w:val="nil"/>
            </w:tcBorders>
            <w:vAlign w:val="bottom"/>
          </w:tcPr>
          <w:p w14:paraId="31BBAA69" w14:textId="392260EA" w:rsidR="000D5945" w:rsidRPr="000A6D4C" w:rsidRDefault="000D5945">
            <w:pPr>
              <w:jc w:val="center"/>
              <w:rPr>
                <w:rFonts w:cs="Calibri"/>
                <w:color w:val="000000"/>
                <w:sz w:val="18"/>
                <w:szCs w:val="18"/>
              </w:rPr>
            </w:pPr>
            <w:r w:rsidRPr="000A6D4C">
              <w:rPr>
                <w:rFonts w:cs="Calibri"/>
                <w:color w:val="000000"/>
                <w:sz w:val="18"/>
                <w:szCs w:val="18"/>
              </w:rPr>
              <w:t>0.</w:t>
            </w:r>
            <w:r w:rsidR="00DA4D81">
              <w:rPr>
                <w:rFonts w:cs="Calibri"/>
                <w:color w:val="000000"/>
                <w:sz w:val="18"/>
                <w:szCs w:val="18"/>
              </w:rPr>
              <w:t>0761</w:t>
            </w:r>
            <w:r w:rsidR="00CC6AB7">
              <w:rPr>
                <w:rFonts w:cs="Calibri"/>
                <w:color w:val="000000"/>
                <w:sz w:val="18"/>
                <w:szCs w:val="18"/>
              </w:rPr>
              <w:t>***</w:t>
            </w:r>
          </w:p>
        </w:tc>
        <w:tc>
          <w:tcPr>
            <w:tcW w:w="904" w:type="dxa"/>
            <w:tcBorders>
              <w:top w:val="nil"/>
              <w:left w:val="nil"/>
              <w:bottom w:val="nil"/>
              <w:right w:val="nil"/>
            </w:tcBorders>
            <w:vAlign w:val="bottom"/>
          </w:tcPr>
          <w:p w14:paraId="0785482D" w14:textId="1EF05D61" w:rsidR="000D5945" w:rsidRPr="000A6D4C" w:rsidRDefault="000D5945">
            <w:pPr>
              <w:jc w:val="center"/>
              <w:rPr>
                <w:rFonts w:cs="Calibri"/>
                <w:color w:val="000000"/>
                <w:sz w:val="18"/>
                <w:szCs w:val="18"/>
              </w:rPr>
            </w:pPr>
            <w:r w:rsidRPr="000A6D4C">
              <w:rPr>
                <w:rFonts w:cs="Calibri"/>
                <w:color w:val="000000"/>
                <w:sz w:val="18"/>
                <w:szCs w:val="18"/>
              </w:rPr>
              <w:t>0.</w:t>
            </w:r>
            <w:r w:rsidR="00DA4D81">
              <w:rPr>
                <w:rFonts w:cs="Calibri"/>
                <w:color w:val="000000"/>
                <w:sz w:val="18"/>
                <w:szCs w:val="18"/>
              </w:rPr>
              <w:t>0774</w:t>
            </w:r>
          </w:p>
        </w:tc>
        <w:tc>
          <w:tcPr>
            <w:tcW w:w="886" w:type="dxa"/>
            <w:tcBorders>
              <w:top w:val="nil"/>
              <w:left w:val="nil"/>
              <w:bottom w:val="nil"/>
            </w:tcBorders>
            <w:vAlign w:val="bottom"/>
          </w:tcPr>
          <w:p w14:paraId="1F2EAB82" w14:textId="02C1EAB4" w:rsidR="000D5945" w:rsidRPr="000A6D4C" w:rsidRDefault="000D5945">
            <w:pPr>
              <w:jc w:val="center"/>
              <w:rPr>
                <w:rFonts w:cs="Calibri"/>
                <w:color w:val="000000"/>
                <w:sz w:val="18"/>
                <w:szCs w:val="18"/>
              </w:rPr>
            </w:pPr>
            <w:r w:rsidRPr="000A6D4C">
              <w:rPr>
                <w:rFonts w:cs="Calibri"/>
                <w:color w:val="000000"/>
                <w:sz w:val="18"/>
                <w:szCs w:val="18"/>
              </w:rPr>
              <w:t>0.</w:t>
            </w:r>
            <w:r w:rsidR="00DA4D81">
              <w:rPr>
                <w:rFonts w:cs="Calibri"/>
                <w:color w:val="000000"/>
                <w:sz w:val="18"/>
                <w:szCs w:val="18"/>
              </w:rPr>
              <w:t>0067</w:t>
            </w:r>
          </w:p>
        </w:tc>
      </w:tr>
      <w:tr w:rsidR="000D5945" w14:paraId="172638E7" w14:textId="77777777" w:rsidTr="00F154AD">
        <w:trPr>
          <w:jc w:val="center"/>
        </w:trPr>
        <w:tc>
          <w:tcPr>
            <w:tcW w:w="1252" w:type="dxa"/>
            <w:tcBorders>
              <w:top w:val="nil"/>
              <w:bottom w:val="nil"/>
            </w:tcBorders>
            <w:vAlign w:val="bottom"/>
          </w:tcPr>
          <w:p w14:paraId="4552B8BD" w14:textId="77777777" w:rsidR="000D5945" w:rsidRPr="00DF4351" w:rsidRDefault="000D5945" w:rsidP="00F154AD">
            <w:pPr>
              <w:rPr>
                <w:rFonts w:cs="Calibri"/>
                <w:color w:val="000000"/>
                <w:sz w:val="18"/>
                <w:szCs w:val="18"/>
              </w:rPr>
            </w:pPr>
            <w:r>
              <w:rPr>
                <w:rFonts w:cs="Calibri"/>
                <w:color w:val="000000"/>
                <w:sz w:val="18"/>
                <w:szCs w:val="18"/>
              </w:rPr>
              <w:t>LSCC</w:t>
            </w:r>
          </w:p>
        </w:tc>
        <w:tc>
          <w:tcPr>
            <w:tcW w:w="1047" w:type="dxa"/>
            <w:tcBorders>
              <w:top w:val="nil"/>
              <w:bottom w:val="nil"/>
              <w:right w:val="nil"/>
            </w:tcBorders>
            <w:vAlign w:val="bottom"/>
          </w:tcPr>
          <w:p w14:paraId="11860494" w14:textId="451B5FDC" w:rsidR="000D5945" w:rsidRPr="0043487C" w:rsidRDefault="000D5945">
            <w:pPr>
              <w:jc w:val="center"/>
              <w:rPr>
                <w:rFonts w:cs="Calibri"/>
                <w:color w:val="000000"/>
                <w:sz w:val="18"/>
                <w:szCs w:val="18"/>
              </w:rPr>
            </w:pPr>
            <w:r w:rsidRPr="0043487C">
              <w:rPr>
                <w:rFonts w:cs="Calibri"/>
                <w:color w:val="000000"/>
                <w:sz w:val="18"/>
                <w:szCs w:val="18"/>
              </w:rPr>
              <w:t>0.</w:t>
            </w:r>
            <w:r w:rsidR="00995482">
              <w:rPr>
                <w:rFonts w:cs="Calibri"/>
                <w:color w:val="000000"/>
                <w:sz w:val="18"/>
                <w:szCs w:val="18"/>
              </w:rPr>
              <w:t>2279</w:t>
            </w:r>
          </w:p>
        </w:tc>
        <w:tc>
          <w:tcPr>
            <w:tcW w:w="935" w:type="dxa"/>
            <w:tcBorders>
              <w:top w:val="nil"/>
              <w:left w:val="nil"/>
              <w:bottom w:val="nil"/>
              <w:right w:val="nil"/>
            </w:tcBorders>
            <w:vAlign w:val="bottom"/>
          </w:tcPr>
          <w:p w14:paraId="5D6A540B" w14:textId="2D88FD76" w:rsidR="000D5945" w:rsidRPr="0043487C" w:rsidRDefault="000D5945">
            <w:pPr>
              <w:jc w:val="center"/>
              <w:rPr>
                <w:rFonts w:cs="Calibri"/>
                <w:color w:val="000000"/>
                <w:sz w:val="18"/>
                <w:szCs w:val="18"/>
              </w:rPr>
            </w:pPr>
            <w:r w:rsidRPr="0043487C">
              <w:rPr>
                <w:rFonts w:cs="Calibri"/>
                <w:color w:val="000000"/>
                <w:sz w:val="18"/>
                <w:szCs w:val="18"/>
              </w:rPr>
              <w:t>0.</w:t>
            </w:r>
            <w:r w:rsidR="00995482">
              <w:rPr>
                <w:rFonts w:cs="Calibri"/>
                <w:color w:val="000000"/>
                <w:sz w:val="18"/>
                <w:szCs w:val="18"/>
              </w:rPr>
              <w:t>2593</w:t>
            </w:r>
          </w:p>
        </w:tc>
        <w:tc>
          <w:tcPr>
            <w:tcW w:w="913" w:type="dxa"/>
            <w:tcBorders>
              <w:top w:val="nil"/>
              <w:left w:val="nil"/>
              <w:bottom w:val="nil"/>
            </w:tcBorders>
            <w:vAlign w:val="bottom"/>
          </w:tcPr>
          <w:p w14:paraId="5326FF43" w14:textId="538861E9" w:rsidR="000D5945" w:rsidRPr="0043487C" w:rsidRDefault="000D5945">
            <w:pPr>
              <w:jc w:val="center"/>
              <w:rPr>
                <w:rFonts w:cs="Calibri"/>
                <w:color w:val="000000"/>
                <w:sz w:val="18"/>
                <w:szCs w:val="18"/>
              </w:rPr>
            </w:pPr>
            <w:r w:rsidRPr="0043487C">
              <w:rPr>
                <w:rFonts w:cs="Calibri"/>
                <w:color w:val="000000"/>
                <w:sz w:val="18"/>
                <w:szCs w:val="18"/>
              </w:rPr>
              <w:t>0.</w:t>
            </w:r>
            <w:r w:rsidR="00821206">
              <w:rPr>
                <w:rFonts w:cs="Calibri"/>
                <w:color w:val="000000"/>
                <w:sz w:val="18"/>
                <w:szCs w:val="18"/>
              </w:rPr>
              <w:t>1136</w:t>
            </w:r>
          </w:p>
        </w:tc>
        <w:tc>
          <w:tcPr>
            <w:tcW w:w="1174" w:type="dxa"/>
            <w:tcBorders>
              <w:top w:val="nil"/>
              <w:bottom w:val="nil"/>
              <w:right w:val="nil"/>
            </w:tcBorders>
            <w:vAlign w:val="bottom"/>
          </w:tcPr>
          <w:p w14:paraId="1A1BA24E" w14:textId="674A62B1" w:rsidR="000D5945" w:rsidRPr="000A6D4C" w:rsidRDefault="000D5945">
            <w:pPr>
              <w:jc w:val="center"/>
              <w:rPr>
                <w:rFonts w:cs="Calibri"/>
                <w:color w:val="000000"/>
                <w:sz w:val="18"/>
                <w:szCs w:val="18"/>
              </w:rPr>
            </w:pPr>
            <w:r w:rsidRPr="000A6D4C">
              <w:rPr>
                <w:rFonts w:cs="Calibri"/>
                <w:color w:val="000000"/>
                <w:sz w:val="18"/>
                <w:szCs w:val="18"/>
              </w:rPr>
              <w:t>0.</w:t>
            </w:r>
            <w:r w:rsidR="00DA4D81">
              <w:rPr>
                <w:rFonts w:cs="Calibri"/>
                <w:color w:val="000000"/>
                <w:sz w:val="18"/>
                <w:szCs w:val="18"/>
              </w:rPr>
              <w:t>5632</w:t>
            </w:r>
            <w:r w:rsidR="00CC6AB7">
              <w:rPr>
                <w:rFonts w:cs="Calibri"/>
                <w:color w:val="000000"/>
                <w:sz w:val="18"/>
                <w:szCs w:val="18"/>
              </w:rPr>
              <w:t>***</w:t>
            </w:r>
          </w:p>
        </w:tc>
        <w:tc>
          <w:tcPr>
            <w:tcW w:w="904" w:type="dxa"/>
            <w:tcBorders>
              <w:top w:val="nil"/>
              <w:left w:val="nil"/>
              <w:bottom w:val="nil"/>
              <w:right w:val="nil"/>
            </w:tcBorders>
            <w:vAlign w:val="bottom"/>
          </w:tcPr>
          <w:p w14:paraId="312E5291" w14:textId="16015694" w:rsidR="000D5945" w:rsidRPr="000A6D4C" w:rsidRDefault="000D5945">
            <w:pPr>
              <w:jc w:val="center"/>
              <w:rPr>
                <w:rFonts w:cs="Calibri"/>
                <w:color w:val="000000"/>
                <w:sz w:val="18"/>
                <w:szCs w:val="18"/>
              </w:rPr>
            </w:pPr>
            <w:r w:rsidRPr="000A6D4C">
              <w:rPr>
                <w:rFonts w:cs="Calibri"/>
                <w:color w:val="000000"/>
                <w:sz w:val="18"/>
                <w:szCs w:val="18"/>
              </w:rPr>
              <w:t>0.</w:t>
            </w:r>
            <w:r w:rsidR="00DA4D81">
              <w:rPr>
                <w:rFonts w:cs="Calibri"/>
                <w:color w:val="000000"/>
                <w:sz w:val="18"/>
                <w:szCs w:val="18"/>
              </w:rPr>
              <w:t>5786</w:t>
            </w:r>
          </w:p>
        </w:tc>
        <w:tc>
          <w:tcPr>
            <w:tcW w:w="886" w:type="dxa"/>
            <w:tcBorders>
              <w:top w:val="nil"/>
              <w:left w:val="nil"/>
              <w:bottom w:val="nil"/>
            </w:tcBorders>
            <w:vAlign w:val="bottom"/>
          </w:tcPr>
          <w:p w14:paraId="59226269" w14:textId="6428B6C9" w:rsidR="000D5945" w:rsidRPr="000A6D4C" w:rsidRDefault="000D5945">
            <w:pPr>
              <w:jc w:val="center"/>
              <w:rPr>
                <w:rFonts w:cs="Calibri"/>
                <w:color w:val="000000"/>
                <w:sz w:val="18"/>
                <w:szCs w:val="18"/>
              </w:rPr>
            </w:pPr>
            <w:r w:rsidRPr="000A6D4C">
              <w:rPr>
                <w:rFonts w:cs="Calibri"/>
                <w:color w:val="000000"/>
                <w:sz w:val="18"/>
                <w:szCs w:val="18"/>
              </w:rPr>
              <w:t>0.</w:t>
            </w:r>
            <w:r w:rsidR="00DA4D81">
              <w:rPr>
                <w:rFonts w:cs="Calibri"/>
                <w:color w:val="000000"/>
                <w:sz w:val="18"/>
                <w:szCs w:val="18"/>
              </w:rPr>
              <w:t>0525</w:t>
            </w:r>
          </w:p>
        </w:tc>
      </w:tr>
      <w:tr w:rsidR="000D5945" w14:paraId="3B5663DA" w14:textId="77777777" w:rsidTr="00F154AD">
        <w:trPr>
          <w:jc w:val="center"/>
        </w:trPr>
        <w:tc>
          <w:tcPr>
            <w:tcW w:w="1252" w:type="dxa"/>
            <w:tcBorders>
              <w:top w:val="nil"/>
              <w:bottom w:val="single" w:sz="4" w:space="0" w:color="auto"/>
            </w:tcBorders>
            <w:vAlign w:val="bottom"/>
          </w:tcPr>
          <w:p w14:paraId="3061B8D5" w14:textId="77777777" w:rsidR="000D5945" w:rsidRPr="00DF4351" w:rsidRDefault="000D5945" w:rsidP="00F154AD">
            <w:pPr>
              <w:rPr>
                <w:rFonts w:cs="Calibri"/>
                <w:color w:val="000000"/>
                <w:sz w:val="18"/>
                <w:szCs w:val="18"/>
              </w:rPr>
            </w:pPr>
          </w:p>
        </w:tc>
        <w:tc>
          <w:tcPr>
            <w:tcW w:w="1047" w:type="dxa"/>
            <w:tcBorders>
              <w:top w:val="nil"/>
              <w:bottom w:val="single" w:sz="4" w:space="0" w:color="auto"/>
              <w:right w:val="nil"/>
            </w:tcBorders>
            <w:vAlign w:val="bottom"/>
          </w:tcPr>
          <w:p w14:paraId="2FFC7EB9" w14:textId="77777777" w:rsidR="000D5945" w:rsidRPr="0043487C" w:rsidRDefault="000D5945" w:rsidP="00F154AD">
            <w:pPr>
              <w:jc w:val="center"/>
              <w:rPr>
                <w:rFonts w:cs="Calibri"/>
                <w:color w:val="000000"/>
                <w:sz w:val="18"/>
                <w:szCs w:val="18"/>
              </w:rPr>
            </w:pPr>
          </w:p>
        </w:tc>
        <w:tc>
          <w:tcPr>
            <w:tcW w:w="935" w:type="dxa"/>
            <w:tcBorders>
              <w:top w:val="nil"/>
              <w:left w:val="nil"/>
              <w:bottom w:val="single" w:sz="4" w:space="0" w:color="auto"/>
              <w:right w:val="nil"/>
            </w:tcBorders>
            <w:vAlign w:val="bottom"/>
          </w:tcPr>
          <w:p w14:paraId="049653A8" w14:textId="77777777" w:rsidR="000D5945" w:rsidRPr="0043487C" w:rsidRDefault="000D5945" w:rsidP="00F154AD">
            <w:pPr>
              <w:jc w:val="center"/>
              <w:rPr>
                <w:rFonts w:cs="Calibri"/>
                <w:color w:val="000000"/>
                <w:sz w:val="18"/>
                <w:szCs w:val="18"/>
              </w:rPr>
            </w:pPr>
          </w:p>
        </w:tc>
        <w:tc>
          <w:tcPr>
            <w:tcW w:w="913" w:type="dxa"/>
            <w:tcBorders>
              <w:top w:val="nil"/>
              <w:left w:val="nil"/>
              <w:bottom w:val="single" w:sz="4" w:space="0" w:color="auto"/>
            </w:tcBorders>
            <w:vAlign w:val="bottom"/>
          </w:tcPr>
          <w:p w14:paraId="1613FC58" w14:textId="77777777" w:rsidR="000D5945" w:rsidRPr="0043487C" w:rsidRDefault="000D5945" w:rsidP="00F154AD">
            <w:pPr>
              <w:jc w:val="center"/>
              <w:rPr>
                <w:rFonts w:cs="Calibri"/>
                <w:color w:val="000000"/>
                <w:sz w:val="18"/>
                <w:szCs w:val="18"/>
              </w:rPr>
            </w:pPr>
          </w:p>
        </w:tc>
        <w:tc>
          <w:tcPr>
            <w:tcW w:w="1174" w:type="dxa"/>
            <w:tcBorders>
              <w:top w:val="nil"/>
              <w:bottom w:val="single" w:sz="4" w:space="0" w:color="auto"/>
              <w:right w:val="nil"/>
            </w:tcBorders>
            <w:vAlign w:val="bottom"/>
          </w:tcPr>
          <w:p w14:paraId="17C48B2C" w14:textId="77777777" w:rsidR="000D5945" w:rsidRPr="0043487C" w:rsidRDefault="000D5945" w:rsidP="00F154AD">
            <w:pPr>
              <w:jc w:val="center"/>
              <w:rPr>
                <w:rFonts w:cs="Calibri"/>
                <w:color w:val="000000"/>
                <w:sz w:val="18"/>
                <w:szCs w:val="18"/>
              </w:rPr>
            </w:pPr>
          </w:p>
        </w:tc>
        <w:tc>
          <w:tcPr>
            <w:tcW w:w="904" w:type="dxa"/>
            <w:tcBorders>
              <w:top w:val="nil"/>
              <w:left w:val="nil"/>
              <w:bottom w:val="single" w:sz="4" w:space="0" w:color="auto"/>
              <w:right w:val="nil"/>
            </w:tcBorders>
            <w:vAlign w:val="bottom"/>
          </w:tcPr>
          <w:p w14:paraId="6A1BCA3C" w14:textId="77777777" w:rsidR="000D5945" w:rsidRPr="0043487C" w:rsidRDefault="000D5945" w:rsidP="00F154AD">
            <w:pPr>
              <w:jc w:val="center"/>
              <w:rPr>
                <w:rFonts w:cs="Calibri"/>
                <w:color w:val="000000"/>
                <w:sz w:val="18"/>
                <w:szCs w:val="18"/>
              </w:rPr>
            </w:pPr>
          </w:p>
        </w:tc>
        <w:tc>
          <w:tcPr>
            <w:tcW w:w="886" w:type="dxa"/>
            <w:tcBorders>
              <w:top w:val="nil"/>
              <w:left w:val="nil"/>
              <w:bottom w:val="single" w:sz="4" w:space="0" w:color="auto"/>
            </w:tcBorders>
            <w:vAlign w:val="bottom"/>
          </w:tcPr>
          <w:p w14:paraId="472A42ED" w14:textId="77777777" w:rsidR="000D5945" w:rsidRPr="0043487C" w:rsidRDefault="000D5945" w:rsidP="00F154AD">
            <w:pPr>
              <w:jc w:val="center"/>
              <w:rPr>
                <w:rFonts w:cs="Calibri"/>
                <w:color w:val="000000"/>
                <w:sz w:val="18"/>
                <w:szCs w:val="18"/>
              </w:rPr>
            </w:pPr>
          </w:p>
        </w:tc>
      </w:tr>
      <w:tr w:rsidR="000D5945" w14:paraId="63196D61" w14:textId="77777777" w:rsidTr="00F154AD">
        <w:trPr>
          <w:jc w:val="center"/>
        </w:trPr>
        <w:tc>
          <w:tcPr>
            <w:tcW w:w="1252" w:type="dxa"/>
            <w:tcBorders>
              <w:bottom w:val="nil"/>
            </w:tcBorders>
          </w:tcPr>
          <w:p w14:paraId="7C416F4B" w14:textId="77777777" w:rsidR="000D5945" w:rsidRDefault="000D5945" w:rsidP="00F154AD"/>
        </w:tc>
        <w:tc>
          <w:tcPr>
            <w:tcW w:w="2895" w:type="dxa"/>
            <w:gridSpan w:val="3"/>
            <w:tcBorders>
              <w:bottom w:val="nil"/>
            </w:tcBorders>
          </w:tcPr>
          <w:p w14:paraId="75578CED" w14:textId="77777777" w:rsidR="000D5945" w:rsidRPr="00E24A54" w:rsidRDefault="000D5945" w:rsidP="00F154AD">
            <w:pPr>
              <w:jc w:val="center"/>
              <w:rPr>
                <w:sz w:val="18"/>
                <w:szCs w:val="18"/>
              </w:rPr>
            </w:pPr>
            <w:r w:rsidRPr="00E24A54">
              <w:rPr>
                <w:sz w:val="18"/>
                <w:szCs w:val="18"/>
              </w:rPr>
              <w:t>Crisis 2</w:t>
            </w:r>
          </w:p>
        </w:tc>
        <w:tc>
          <w:tcPr>
            <w:tcW w:w="2964" w:type="dxa"/>
            <w:gridSpan w:val="3"/>
            <w:tcBorders>
              <w:bottom w:val="nil"/>
            </w:tcBorders>
          </w:tcPr>
          <w:p w14:paraId="3AC64387" w14:textId="77777777" w:rsidR="000D5945" w:rsidRPr="00E24A54" w:rsidRDefault="000D5945" w:rsidP="00F154AD">
            <w:pPr>
              <w:jc w:val="center"/>
              <w:rPr>
                <w:sz w:val="18"/>
                <w:szCs w:val="18"/>
              </w:rPr>
            </w:pPr>
            <w:r w:rsidRPr="00E24A54">
              <w:rPr>
                <w:sz w:val="18"/>
                <w:szCs w:val="18"/>
              </w:rPr>
              <w:t>Crisis 2</w:t>
            </w:r>
          </w:p>
        </w:tc>
      </w:tr>
      <w:tr w:rsidR="000D5945" w14:paraId="644E2395" w14:textId="77777777" w:rsidTr="00F154AD">
        <w:trPr>
          <w:jc w:val="center"/>
        </w:trPr>
        <w:tc>
          <w:tcPr>
            <w:tcW w:w="1252" w:type="dxa"/>
            <w:tcBorders>
              <w:top w:val="nil"/>
              <w:bottom w:val="nil"/>
            </w:tcBorders>
            <w:vAlign w:val="bottom"/>
          </w:tcPr>
          <w:p w14:paraId="61860C2F" w14:textId="77777777" w:rsidR="000D5945" w:rsidRPr="00DF4351" w:rsidRDefault="000D5945" w:rsidP="00F154AD">
            <w:pPr>
              <w:rPr>
                <w:rFonts w:cs="Calibri"/>
                <w:color w:val="000000"/>
                <w:sz w:val="18"/>
                <w:szCs w:val="18"/>
              </w:rPr>
            </w:pPr>
          </w:p>
        </w:tc>
        <w:tc>
          <w:tcPr>
            <w:tcW w:w="2895" w:type="dxa"/>
            <w:gridSpan w:val="3"/>
            <w:tcBorders>
              <w:top w:val="nil"/>
              <w:bottom w:val="nil"/>
            </w:tcBorders>
            <w:vAlign w:val="bottom"/>
          </w:tcPr>
          <w:p w14:paraId="6E8E6121" w14:textId="77777777" w:rsidR="000D5945" w:rsidRDefault="000D5945" w:rsidP="00F154AD">
            <w:pPr>
              <w:jc w:val="center"/>
              <w:rPr>
                <w:rFonts w:cs="Arial"/>
                <w:color w:val="000000"/>
                <w:sz w:val="18"/>
                <w:szCs w:val="18"/>
              </w:rPr>
            </w:pPr>
            <w:r>
              <w:rPr>
                <w:sz w:val="18"/>
                <w:szCs w:val="18"/>
              </w:rPr>
              <w:t>16-Sep-08 -</w:t>
            </w:r>
            <w:r w:rsidRPr="001A1587">
              <w:rPr>
                <w:sz w:val="18"/>
                <w:szCs w:val="18"/>
              </w:rPr>
              <w:t xml:space="preserve"> 1-Apr-09</w:t>
            </w:r>
          </w:p>
        </w:tc>
        <w:tc>
          <w:tcPr>
            <w:tcW w:w="2964" w:type="dxa"/>
            <w:gridSpan w:val="3"/>
            <w:tcBorders>
              <w:top w:val="nil"/>
              <w:bottom w:val="nil"/>
            </w:tcBorders>
            <w:vAlign w:val="bottom"/>
          </w:tcPr>
          <w:p w14:paraId="67312B11" w14:textId="77777777" w:rsidR="000D5945" w:rsidRDefault="000D5945" w:rsidP="00F154AD">
            <w:pPr>
              <w:jc w:val="center"/>
              <w:rPr>
                <w:rFonts w:cs="Arial"/>
                <w:color w:val="000000"/>
                <w:sz w:val="18"/>
                <w:szCs w:val="18"/>
              </w:rPr>
            </w:pPr>
            <w:r>
              <w:rPr>
                <w:sz w:val="18"/>
                <w:szCs w:val="18"/>
              </w:rPr>
              <w:t>16-Sep-08 -</w:t>
            </w:r>
            <w:r w:rsidRPr="001A1587">
              <w:rPr>
                <w:sz w:val="18"/>
                <w:szCs w:val="18"/>
              </w:rPr>
              <w:t xml:space="preserve"> 1-Apr-09</w:t>
            </w:r>
          </w:p>
        </w:tc>
      </w:tr>
      <w:tr w:rsidR="000D5945" w14:paraId="7AE24183" w14:textId="77777777" w:rsidTr="00F154AD">
        <w:trPr>
          <w:jc w:val="center"/>
        </w:trPr>
        <w:tc>
          <w:tcPr>
            <w:tcW w:w="1252" w:type="dxa"/>
            <w:tcBorders>
              <w:top w:val="nil"/>
              <w:bottom w:val="nil"/>
            </w:tcBorders>
            <w:vAlign w:val="bottom"/>
          </w:tcPr>
          <w:p w14:paraId="24B8075D" w14:textId="77777777" w:rsidR="000D5945" w:rsidRPr="00DF4351" w:rsidRDefault="000D5945" w:rsidP="00F154AD">
            <w:pPr>
              <w:rPr>
                <w:rFonts w:cs="Calibri"/>
                <w:color w:val="000000"/>
                <w:sz w:val="18"/>
                <w:szCs w:val="18"/>
              </w:rPr>
            </w:pPr>
          </w:p>
        </w:tc>
        <w:tc>
          <w:tcPr>
            <w:tcW w:w="2895" w:type="dxa"/>
            <w:gridSpan w:val="3"/>
            <w:tcBorders>
              <w:top w:val="nil"/>
              <w:bottom w:val="nil"/>
            </w:tcBorders>
            <w:vAlign w:val="bottom"/>
          </w:tcPr>
          <w:p w14:paraId="42FF3468" w14:textId="77777777" w:rsidR="000D5945" w:rsidRDefault="000D5945" w:rsidP="00F154AD">
            <w:pPr>
              <w:jc w:val="center"/>
              <w:rPr>
                <w:sz w:val="18"/>
                <w:szCs w:val="18"/>
              </w:rPr>
            </w:pPr>
          </w:p>
        </w:tc>
        <w:tc>
          <w:tcPr>
            <w:tcW w:w="2964" w:type="dxa"/>
            <w:gridSpan w:val="3"/>
            <w:tcBorders>
              <w:top w:val="nil"/>
              <w:bottom w:val="nil"/>
            </w:tcBorders>
            <w:vAlign w:val="bottom"/>
          </w:tcPr>
          <w:p w14:paraId="538A4768" w14:textId="77777777" w:rsidR="000D5945" w:rsidRDefault="000D5945" w:rsidP="00F154AD">
            <w:pPr>
              <w:jc w:val="center"/>
              <w:rPr>
                <w:sz w:val="18"/>
                <w:szCs w:val="18"/>
              </w:rPr>
            </w:pPr>
          </w:p>
        </w:tc>
      </w:tr>
      <w:tr w:rsidR="000D5945" w14:paraId="74E73068" w14:textId="77777777" w:rsidTr="00F154AD">
        <w:trPr>
          <w:jc w:val="center"/>
        </w:trPr>
        <w:tc>
          <w:tcPr>
            <w:tcW w:w="1252" w:type="dxa"/>
            <w:tcBorders>
              <w:top w:val="nil"/>
              <w:bottom w:val="nil"/>
            </w:tcBorders>
            <w:vAlign w:val="bottom"/>
          </w:tcPr>
          <w:p w14:paraId="54F82B89" w14:textId="77777777" w:rsidR="000D5945" w:rsidRPr="00DF4351" w:rsidRDefault="000D5945" w:rsidP="00F154AD">
            <w:pPr>
              <w:rPr>
                <w:rFonts w:cs="Calibri"/>
                <w:color w:val="000000"/>
                <w:sz w:val="18"/>
                <w:szCs w:val="18"/>
              </w:rPr>
            </w:pPr>
            <w:r>
              <w:rPr>
                <w:rFonts w:cs="Calibri"/>
                <w:color w:val="000000"/>
                <w:sz w:val="18"/>
                <w:szCs w:val="18"/>
              </w:rPr>
              <w:t>C</w:t>
            </w:r>
            <w:r w:rsidRPr="00DF4351">
              <w:rPr>
                <w:rFonts w:cs="Calibri"/>
                <w:color w:val="000000"/>
                <w:sz w:val="18"/>
                <w:szCs w:val="18"/>
              </w:rPr>
              <w:t>C</w:t>
            </w:r>
          </w:p>
        </w:tc>
        <w:tc>
          <w:tcPr>
            <w:tcW w:w="1047" w:type="dxa"/>
            <w:tcBorders>
              <w:top w:val="nil"/>
              <w:bottom w:val="nil"/>
              <w:right w:val="nil"/>
            </w:tcBorders>
            <w:vAlign w:val="bottom"/>
          </w:tcPr>
          <w:p w14:paraId="4FAB04CE" w14:textId="6BE3248B" w:rsidR="000D5945" w:rsidRDefault="000D5945">
            <w:pPr>
              <w:jc w:val="center"/>
              <w:rPr>
                <w:rFonts w:cs="Arial"/>
                <w:color w:val="000000"/>
                <w:sz w:val="18"/>
                <w:szCs w:val="18"/>
              </w:rPr>
            </w:pPr>
            <w:r>
              <w:rPr>
                <w:rFonts w:cs="Arial"/>
                <w:color w:val="000000"/>
                <w:sz w:val="18"/>
                <w:szCs w:val="18"/>
              </w:rPr>
              <w:t>0.</w:t>
            </w:r>
            <w:r w:rsidR="000749BA">
              <w:rPr>
                <w:rFonts w:cs="Arial"/>
                <w:color w:val="000000"/>
                <w:sz w:val="18"/>
                <w:szCs w:val="18"/>
              </w:rPr>
              <w:t>3249</w:t>
            </w:r>
            <w:r w:rsidR="004557F8">
              <w:rPr>
                <w:rFonts w:cs="Arial"/>
                <w:color w:val="000000"/>
                <w:sz w:val="18"/>
                <w:szCs w:val="18"/>
              </w:rPr>
              <w:t>***</w:t>
            </w:r>
          </w:p>
        </w:tc>
        <w:tc>
          <w:tcPr>
            <w:tcW w:w="935" w:type="dxa"/>
            <w:tcBorders>
              <w:top w:val="nil"/>
              <w:left w:val="nil"/>
              <w:bottom w:val="nil"/>
              <w:right w:val="nil"/>
            </w:tcBorders>
            <w:vAlign w:val="bottom"/>
          </w:tcPr>
          <w:p w14:paraId="6EE42B19" w14:textId="0B523416" w:rsidR="000D5945" w:rsidRDefault="000D5945">
            <w:pPr>
              <w:jc w:val="center"/>
              <w:rPr>
                <w:rFonts w:cs="Arial"/>
                <w:color w:val="000000"/>
                <w:sz w:val="18"/>
                <w:szCs w:val="18"/>
              </w:rPr>
            </w:pPr>
            <w:r>
              <w:rPr>
                <w:rFonts w:cs="Arial"/>
                <w:color w:val="000000"/>
                <w:sz w:val="18"/>
                <w:szCs w:val="18"/>
              </w:rPr>
              <w:t>0.</w:t>
            </w:r>
            <w:r w:rsidR="00EF30A0">
              <w:rPr>
                <w:rFonts w:cs="Arial"/>
                <w:color w:val="000000"/>
                <w:sz w:val="18"/>
                <w:szCs w:val="18"/>
              </w:rPr>
              <w:t>3544</w:t>
            </w:r>
          </w:p>
        </w:tc>
        <w:tc>
          <w:tcPr>
            <w:tcW w:w="913" w:type="dxa"/>
            <w:tcBorders>
              <w:top w:val="nil"/>
              <w:left w:val="nil"/>
              <w:bottom w:val="nil"/>
            </w:tcBorders>
            <w:vAlign w:val="bottom"/>
          </w:tcPr>
          <w:p w14:paraId="42565D3C" w14:textId="51C76F2C" w:rsidR="000D5945" w:rsidRDefault="000D5945">
            <w:pPr>
              <w:jc w:val="center"/>
              <w:rPr>
                <w:rFonts w:cs="Arial"/>
                <w:color w:val="000000"/>
                <w:sz w:val="18"/>
                <w:szCs w:val="18"/>
              </w:rPr>
            </w:pPr>
            <w:r>
              <w:rPr>
                <w:rFonts w:cs="Arial"/>
                <w:color w:val="000000"/>
                <w:sz w:val="18"/>
                <w:szCs w:val="18"/>
              </w:rPr>
              <w:t>0.</w:t>
            </w:r>
            <w:r w:rsidR="009D3C47">
              <w:rPr>
                <w:rFonts w:cs="Arial"/>
                <w:color w:val="000000"/>
                <w:sz w:val="18"/>
                <w:szCs w:val="18"/>
              </w:rPr>
              <w:t>3544</w:t>
            </w:r>
          </w:p>
        </w:tc>
        <w:tc>
          <w:tcPr>
            <w:tcW w:w="1174" w:type="dxa"/>
            <w:tcBorders>
              <w:top w:val="nil"/>
              <w:bottom w:val="nil"/>
              <w:right w:val="nil"/>
            </w:tcBorders>
            <w:vAlign w:val="bottom"/>
          </w:tcPr>
          <w:p w14:paraId="0643AA15" w14:textId="6BE38800" w:rsidR="000D5945" w:rsidRDefault="000D5945">
            <w:pPr>
              <w:jc w:val="center"/>
              <w:rPr>
                <w:rFonts w:cs="Arial"/>
                <w:color w:val="000000"/>
                <w:sz w:val="18"/>
                <w:szCs w:val="18"/>
              </w:rPr>
            </w:pPr>
            <w:r>
              <w:rPr>
                <w:rFonts w:cs="Arial"/>
                <w:color w:val="000000"/>
                <w:sz w:val="18"/>
                <w:szCs w:val="18"/>
              </w:rPr>
              <w:t>0.</w:t>
            </w:r>
            <w:r w:rsidR="00016CD3">
              <w:rPr>
                <w:rFonts w:cs="Arial"/>
                <w:color w:val="000000"/>
                <w:sz w:val="18"/>
                <w:szCs w:val="18"/>
              </w:rPr>
              <w:t>2930</w:t>
            </w:r>
            <w:r w:rsidR="00CC6AB7">
              <w:rPr>
                <w:rFonts w:cs="Arial"/>
                <w:color w:val="000000"/>
                <w:sz w:val="18"/>
                <w:szCs w:val="18"/>
              </w:rPr>
              <w:t>***</w:t>
            </w:r>
          </w:p>
        </w:tc>
        <w:tc>
          <w:tcPr>
            <w:tcW w:w="904" w:type="dxa"/>
            <w:tcBorders>
              <w:top w:val="nil"/>
              <w:left w:val="nil"/>
              <w:bottom w:val="nil"/>
              <w:right w:val="nil"/>
            </w:tcBorders>
            <w:vAlign w:val="bottom"/>
          </w:tcPr>
          <w:p w14:paraId="6CE08E97" w14:textId="6CD67E44" w:rsidR="000D5945" w:rsidRDefault="000D5945">
            <w:pPr>
              <w:jc w:val="center"/>
              <w:rPr>
                <w:rFonts w:cs="Arial"/>
                <w:color w:val="000000"/>
                <w:sz w:val="18"/>
                <w:szCs w:val="18"/>
              </w:rPr>
            </w:pPr>
            <w:r>
              <w:rPr>
                <w:rFonts w:cs="Arial"/>
                <w:color w:val="000000"/>
                <w:sz w:val="18"/>
                <w:szCs w:val="18"/>
              </w:rPr>
              <w:t>0.</w:t>
            </w:r>
            <w:r w:rsidR="00016CD3">
              <w:rPr>
                <w:rFonts w:cs="Arial"/>
                <w:color w:val="000000"/>
                <w:sz w:val="18"/>
                <w:szCs w:val="18"/>
              </w:rPr>
              <w:t>2822</w:t>
            </w:r>
          </w:p>
        </w:tc>
        <w:tc>
          <w:tcPr>
            <w:tcW w:w="886" w:type="dxa"/>
            <w:tcBorders>
              <w:top w:val="nil"/>
              <w:left w:val="nil"/>
              <w:bottom w:val="nil"/>
            </w:tcBorders>
            <w:vAlign w:val="bottom"/>
          </w:tcPr>
          <w:p w14:paraId="7DCB2213" w14:textId="38DA5913" w:rsidR="000D5945" w:rsidRDefault="000D5945">
            <w:pPr>
              <w:jc w:val="center"/>
              <w:rPr>
                <w:rFonts w:cs="Arial"/>
                <w:color w:val="000000"/>
                <w:sz w:val="18"/>
                <w:szCs w:val="18"/>
              </w:rPr>
            </w:pPr>
            <w:r>
              <w:rPr>
                <w:rFonts w:cs="Arial"/>
                <w:color w:val="000000"/>
                <w:sz w:val="18"/>
                <w:szCs w:val="18"/>
              </w:rPr>
              <w:t>0.</w:t>
            </w:r>
            <w:r w:rsidR="00016CD3">
              <w:rPr>
                <w:rFonts w:cs="Arial"/>
                <w:color w:val="000000"/>
                <w:sz w:val="18"/>
                <w:szCs w:val="18"/>
              </w:rPr>
              <w:t>0351</w:t>
            </w:r>
          </w:p>
        </w:tc>
      </w:tr>
      <w:tr w:rsidR="000D5945" w14:paraId="76497B7F" w14:textId="77777777" w:rsidTr="00F154AD">
        <w:trPr>
          <w:jc w:val="center"/>
        </w:trPr>
        <w:tc>
          <w:tcPr>
            <w:tcW w:w="1252" w:type="dxa"/>
            <w:tcBorders>
              <w:top w:val="nil"/>
              <w:bottom w:val="nil"/>
            </w:tcBorders>
            <w:vAlign w:val="bottom"/>
          </w:tcPr>
          <w:p w14:paraId="6438E936" w14:textId="77777777" w:rsidR="000D5945" w:rsidRPr="00DF4351" w:rsidRDefault="000D5945" w:rsidP="00F154AD">
            <w:pPr>
              <w:rPr>
                <w:rFonts w:cs="Calibri"/>
                <w:color w:val="000000"/>
                <w:sz w:val="18"/>
                <w:szCs w:val="18"/>
              </w:rPr>
            </w:pPr>
            <w:r w:rsidRPr="00DF4351">
              <w:rPr>
                <w:rFonts w:cs="Calibri"/>
                <w:color w:val="000000"/>
                <w:sz w:val="18"/>
                <w:szCs w:val="18"/>
              </w:rPr>
              <w:t>Closeness</w:t>
            </w:r>
          </w:p>
        </w:tc>
        <w:tc>
          <w:tcPr>
            <w:tcW w:w="1047" w:type="dxa"/>
            <w:tcBorders>
              <w:top w:val="nil"/>
              <w:bottom w:val="nil"/>
              <w:right w:val="nil"/>
            </w:tcBorders>
            <w:vAlign w:val="bottom"/>
          </w:tcPr>
          <w:p w14:paraId="765797F4" w14:textId="27AAFF82" w:rsidR="000D5945" w:rsidRPr="0043487C" w:rsidRDefault="000D5945">
            <w:pPr>
              <w:jc w:val="center"/>
              <w:rPr>
                <w:rFonts w:cs="Calibri"/>
                <w:color w:val="000000"/>
                <w:sz w:val="18"/>
                <w:szCs w:val="18"/>
              </w:rPr>
            </w:pPr>
            <w:r>
              <w:rPr>
                <w:rFonts w:cs="Calibri"/>
                <w:color w:val="000000"/>
                <w:sz w:val="18"/>
                <w:szCs w:val="18"/>
              </w:rPr>
              <w:t>0.</w:t>
            </w:r>
            <w:r w:rsidR="000749BA">
              <w:rPr>
                <w:rFonts w:cs="Calibri"/>
                <w:color w:val="000000"/>
                <w:sz w:val="18"/>
                <w:szCs w:val="18"/>
              </w:rPr>
              <w:t>1327</w:t>
            </w:r>
            <w:r w:rsidR="005E6B66">
              <w:rPr>
                <w:rFonts w:cs="Calibri"/>
                <w:color w:val="000000"/>
                <w:sz w:val="18"/>
                <w:szCs w:val="18"/>
              </w:rPr>
              <w:t>***</w:t>
            </w:r>
          </w:p>
        </w:tc>
        <w:tc>
          <w:tcPr>
            <w:tcW w:w="935" w:type="dxa"/>
            <w:tcBorders>
              <w:top w:val="nil"/>
              <w:left w:val="nil"/>
              <w:bottom w:val="nil"/>
              <w:right w:val="nil"/>
            </w:tcBorders>
            <w:vAlign w:val="bottom"/>
          </w:tcPr>
          <w:p w14:paraId="196D5598" w14:textId="4DAC5C70" w:rsidR="000D5945" w:rsidRPr="0043487C" w:rsidRDefault="000D5945">
            <w:pPr>
              <w:jc w:val="center"/>
              <w:rPr>
                <w:rFonts w:cs="Calibri"/>
                <w:color w:val="000000"/>
                <w:sz w:val="18"/>
                <w:szCs w:val="18"/>
              </w:rPr>
            </w:pPr>
            <w:r>
              <w:rPr>
                <w:rFonts w:cs="Calibri"/>
                <w:color w:val="000000"/>
                <w:sz w:val="18"/>
                <w:szCs w:val="18"/>
              </w:rPr>
              <w:t>0.</w:t>
            </w:r>
            <w:r w:rsidR="00EF30A0">
              <w:rPr>
                <w:rFonts w:cs="Calibri"/>
                <w:color w:val="000000"/>
                <w:sz w:val="18"/>
                <w:szCs w:val="18"/>
              </w:rPr>
              <w:t>1009</w:t>
            </w:r>
          </w:p>
        </w:tc>
        <w:tc>
          <w:tcPr>
            <w:tcW w:w="913" w:type="dxa"/>
            <w:tcBorders>
              <w:top w:val="nil"/>
              <w:left w:val="nil"/>
              <w:bottom w:val="nil"/>
            </w:tcBorders>
            <w:vAlign w:val="bottom"/>
          </w:tcPr>
          <w:p w14:paraId="127955B4" w14:textId="392A3975" w:rsidR="000D5945" w:rsidRPr="0043487C" w:rsidRDefault="000D5945">
            <w:pPr>
              <w:jc w:val="center"/>
              <w:rPr>
                <w:rFonts w:cs="Calibri"/>
                <w:color w:val="000000"/>
                <w:sz w:val="18"/>
                <w:szCs w:val="18"/>
              </w:rPr>
            </w:pPr>
            <w:r>
              <w:rPr>
                <w:rFonts w:cs="Calibri"/>
                <w:color w:val="000000"/>
                <w:sz w:val="18"/>
                <w:szCs w:val="18"/>
              </w:rPr>
              <w:t>0.</w:t>
            </w:r>
            <w:r w:rsidR="009D3C47">
              <w:rPr>
                <w:rFonts w:cs="Calibri"/>
                <w:color w:val="000000"/>
                <w:sz w:val="18"/>
                <w:szCs w:val="18"/>
              </w:rPr>
              <w:t>1009</w:t>
            </w:r>
          </w:p>
        </w:tc>
        <w:tc>
          <w:tcPr>
            <w:tcW w:w="1174" w:type="dxa"/>
            <w:tcBorders>
              <w:top w:val="nil"/>
              <w:bottom w:val="nil"/>
              <w:right w:val="nil"/>
            </w:tcBorders>
            <w:vAlign w:val="bottom"/>
          </w:tcPr>
          <w:p w14:paraId="53D997AE" w14:textId="4E9785A3" w:rsidR="000D5945" w:rsidRPr="0043487C" w:rsidRDefault="000D5945">
            <w:pPr>
              <w:jc w:val="center"/>
              <w:rPr>
                <w:rFonts w:cs="Calibri"/>
                <w:color w:val="000000"/>
                <w:sz w:val="18"/>
                <w:szCs w:val="18"/>
              </w:rPr>
            </w:pPr>
            <w:r>
              <w:rPr>
                <w:rFonts w:cs="Calibri"/>
                <w:color w:val="000000"/>
                <w:sz w:val="18"/>
                <w:szCs w:val="18"/>
              </w:rPr>
              <w:t>0.</w:t>
            </w:r>
            <w:r w:rsidR="00016CD3">
              <w:rPr>
                <w:rFonts w:cs="Calibri"/>
                <w:color w:val="000000"/>
                <w:sz w:val="18"/>
                <w:szCs w:val="18"/>
              </w:rPr>
              <w:t>0071</w:t>
            </w:r>
          </w:p>
        </w:tc>
        <w:tc>
          <w:tcPr>
            <w:tcW w:w="904" w:type="dxa"/>
            <w:tcBorders>
              <w:top w:val="nil"/>
              <w:left w:val="nil"/>
              <w:bottom w:val="nil"/>
              <w:right w:val="nil"/>
            </w:tcBorders>
            <w:vAlign w:val="bottom"/>
          </w:tcPr>
          <w:p w14:paraId="5D9CDE61" w14:textId="79EB579A" w:rsidR="000D5945" w:rsidRPr="0043487C" w:rsidRDefault="000D5945">
            <w:pPr>
              <w:jc w:val="center"/>
              <w:rPr>
                <w:rFonts w:cs="Calibri"/>
                <w:color w:val="000000"/>
                <w:sz w:val="18"/>
                <w:szCs w:val="18"/>
              </w:rPr>
            </w:pPr>
            <w:r>
              <w:rPr>
                <w:rFonts w:cs="Calibri"/>
                <w:color w:val="000000"/>
                <w:sz w:val="18"/>
                <w:szCs w:val="18"/>
              </w:rPr>
              <w:t>0.</w:t>
            </w:r>
            <w:r w:rsidR="00016CD3">
              <w:rPr>
                <w:rFonts w:cs="Calibri"/>
                <w:color w:val="000000"/>
                <w:sz w:val="18"/>
                <w:szCs w:val="18"/>
              </w:rPr>
              <w:t>0074</w:t>
            </w:r>
          </w:p>
        </w:tc>
        <w:tc>
          <w:tcPr>
            <w:tcW w:w="886" w:type="dxa"/>
            <w:tcBorders>
              <w:top w:val="nil"/>
              <w:left w:val="nil"/>
              <w:bottom w:val="nil"/>
            </w:tcBorders>
            <w:vAlign w:val="bottom"/>
          </w:tcPr>
          <w:p w14:paraId="660C05DA" w14:textId="5247774F" w:rsidR="000D5945" w:rsidRPr="0043487C" w:rsidRDefault="000D5945">
            <w:pPr>
              <w:jc w:val="center"/>
              <w:rPr>
                <w:rFonts w:cs="Calibri"/>
                <w:color w:val="000000"/>
                <w:sz w:val="18"/>
                <w:szCs w:val="18"/>
              </w:rPr>
            </w:pPr>
            <w:r>
              <w:rPr>
                <w:rFonts w:cs="Calibri"/>
                <w:color w:val="000000"/>
                <w:sz w:val="18"/>
                <w:szCs w:val="18"/>
              </w:rPr>
              <w:t>0.</w:t>
            </w:r>
            <w:r w:rsidR="00016CD3">
              <w:rPr>
                <w:rFonts w:cs="Calibri"/>
                <w:color w:val="000000"/>
                <w:sz w:val="18"/>
                <w:szCs w:val="18"/>
              </w:rPr>
              <w:t>0013</w:t>
            </w:r>
          </w:p>
        </w:tc>
      </w:tr>
      <w:tr w:rsidR="000D5945" w14:paraId="06E30E38" w14:textId="77777777" w:rsidTr="00F154AD">
        <w:trPr>
          <w:jc w:val="center"/>
        </w:trPr>
        <w:tc>
          <w:tcPr>
            <w:tcW w:w="1252" w:type="dxa"/>
            <w:tcBorders>
              <w:top w:val="nil"/>
              <w:bottom w:val="nil"/>
            </w:tcBorders>
            <w:vAlign w:val="bottom"/>
          </w:tcPr>
          <w:p w14:paraId="7C13A846" w14:textId="77777777" w:rsidR="000D5945" w:rsidRPr="00DF4351" w:rsidRDefault="000D5945" w:rsidP="00F154AD">
            <w:pPr>
              <w:rPr>
                <w:rFonts w:cs="Calibri"/>
                <w:color w:val="000000"/>
                <w:sz w:val="18"/>
                <w:szCs w:val="18"/>
              </w:rPr>
            </w:pPr>
            <w:r>
              <w:rPr>
                <w:rFonts w:cs="Calibri"/>
                <w:color w:val="000000"/>
                <w:sz w:val="18"/>
                <w:szCs w:val="18"/>
              </w:rPr>
              <w:t>Degree</w:t>
            </w:r>
          </w:p>
        </w:tc>
        <w:tc>
          <w:tcPr>
            <w:tcW w:w="1047" w:type="dxa"/>
            <w:tcBorders>
              <w:top w:val="nil"/>
              <w:bottom w:val="nil"/>
              <w:right w:val="nil"/>
            </w:tcBorders>
            <w:vAlign w:val="bottom"/>
          </w:tcPr>
          <w:p w14:paraId="192B906D" w14:textId="6E65CEFE" w:rsidR="000D5945" w:rsidRPr="0043487C" w:rsidRDefault="000D5945">
            <w:pPr>
              <w:jc w:val="center"/>
              <w:rPr>
                <w:rFonts w:cs="Calibri"/>
                <w:color w:val="000000"/>
                <w:sz w:val="18"/>
                <w:szCs w:val="18"/>
              </w:rPr>
            </w:pPr>
            <w:r>
              <w:rPr>
                <w:rFonts w:cs="Calibri"/>
                <w:color w:val="000000"/>
                <w:sz w:val="18"/>
                <w:szCs w:val="18"/>
              </w:rPr>
              <w:t>0.</w:t>
            </w:r>
            <w:r w:rsidR="000749BA">
              <w:rPr>
                <w:rFonts w:cs="Calibri"/>
                <w:color w:val="000000"/>
                <w:sz w:val="18"/>
                <w:szCs w:val="18"/>
              </w:rPr>
              <w:t>1381</w:t>
            </w:r>
            <w:r w:rsidR="004557F8">
              <w:rPr>
                <w:rFonts w:cs="Calibri"/>
                <w:color w:val="000000"/>
                <w:sz w:val="18"/>
                <w:szCs w:val="18"/>
              </w:rPr>
              <w:t>***</w:t>
            </w:r>
          </w:p>
        </w:tc>
        <w:tc>
          <w:tcPr>
            <w:tcW w:w="935" w:type="dxa"/>
            <w:tcBorders>
              <w:top w:val="nil"/>
              <w:left w:val="nil"/>
              <w:bottom w:val="nil"/>
              <w:right w:val="nil"/>
            </w:tcBorders>
            <w:vAlign w:val="bottom"/>
          </w:tcPr>
          <w:p w14:paraId="375056FA" w14:textId="747CF96C" w:rsidR="000D5945" w:rsidRPr="0043487C" w:rsidRDefault="000D5945">
            <w:pPr>
              <w:jc w:val="center"/>
              <w:rPr>
                <w:rFonts w:cs="Calibri"/>
                <w:color w:val="000000"/>
                <w:sz w:val="18"/>
                <w:szCs w:val="18"/>
              </w:rPr>
            </w:pPr>
            <w:r>
              <w:rPr>
                <w:rFonts w:cs="Calibri"/>
                <w:color w:val="000000"/>
                <w:sz w:val="18"/>
                <w:szCs w:val="18"/>
              </w:rPr>
              <w:t>0.</w:t>
            </w:r>
            <w:r w:rsidR="00EF30A0">
              <w:rPr>
                <w:rFonts w:cs="Calibri"/>
                <w:color w:val="000000"/>
                <w:sz w:val="18"/>
                <w:szCs w:val="18"/>
              </w:rPr>
              <w:t>1292</w:t>
            </w:r>
          </w:p>
        </w:tc>
        <w:tc>
          <w:tcPr>
            <w:tcW w:w="913" w:type="dxa"/>
            <w:tcBorders>
              <w:top w:val="nil"/>
              <w:left w:val="nil"/>
              <w:bottom w:val="nil"/>
            </w:tcBorders>
            <w:vAlign w:val="bottom"/>
          </w:tcPr>
          <w:p w14:paraId="20258333" w14:textId="0EBCA6E6" w:rsidR="000D5945" w:rsidRPr="0043487C" w:rsidRDefault="000D5945">
            <w:pPr>
              <w:jc w:val="center"/>
              <w:rPr>
                <w:rFonts w:cs="Calibri"/>
                <w:color w:val="000000"/>
                <w:sz w:val="18"/>
                <w:szCs w:val="18"/>
              </w:rPr>
            </w:pPr>
            <w:r>
              <w:rPr>
                <w:rFonts w:cs="Calibri"/>
                <w:color w:val="000000"/>
                <w:sz w:val="18"/>
                <w:szCs w:val="18"/>
              </w:rPr>
              <w:t>0.</w:t>
            </w:r>
            <w:r w:rsidR="009D3C47">
              <w:rPr>
                <w:rFonts w:cs="Calibri"/>
                <w:color w:val="000000"/>
                <w:sz w:val="18"/>
                <w:szCs w:val="18"/>
              </w:rPr>
              <w:t>1292</w:t>
            </w:r>
          </w:p>
        </w:tc>
        <w:tc>
          <w:tcPr>
            <w:tcW w:w="1174" w:type="dxa"/>
            <w:tcBorders>
              <w:top w:val="nil"/>
              <w:bottom w:val="nil"/>
              <w:right w:val="nil"/>
            </w:tcBorders>
            <w:vAlign w:val="bottom"/>
          </w:tcPr>
          <w:p w14:paraId="5A26EEDA" w14:textId="109DDD26" w:rsidR="000D5945" w:rsidRPr="0043487C" w:rsidRDefault="000D5945">
            <w:pPr>
              <w:jc w:val="center"/>
              <w:rPr>
                <w:rFonts w:cs="Calibri"/>
                <w:color w:val="000000"/>
                <w:sz w:val="18"/>
                <w:szCs w:val="18"/>
              </w:rPr>
            </w:pPr>
            <w:r>
              <w:rPr>
                <w:rFonts w:cs="Calibri"/>
                <w:color w:val="000000"/>
                <w:sz w:val="18"/>
                <w:szCs w:val="18"/>
              </w:rPr>
              <w:t>0.</w:t>
            </w:r>
            <w:r w:rsidR="00016CD3">
              <w:rPr>
                <w:rFonts w:cs="Calibri"/>
                <w:color w:val="000000"/>
                <w:sz w:val="18"/>
                <w:szCs w:val="18"/>
              </w:rPr>
              <w:t>0663</w:t>
            </w:r>
            <w:r w:rsidR="00CC6AB7">
              <w:rPr>
                <w:rFonts w:cs="Calibri"/>
                <w:color w:val="000000"/>
                <w:sz w:val="18"/>
                <w:szCs w:val="18"/>
              </w:rPr>
              <w:t>***</w:t>
            </w:r>
          </w:p>
        </w:tc>
        <w:tc>
          <w:tcPr>
            <w:tcW w:w="904" w:type="dxa"/>
            <w:tcBorders>
              <w:top w:val="nil"/>
              <w:left w:val="nil"/>
              <w:bottom w:val="nil"/>
              <w:right w:val="nil"/>
            </w:tcBorders>
            <w:vAlign w:val="bottom"/>
          </w:tcPr>
          <w:p w14:paraId="22A60B4C" w14:textId="657E9ACF" w:rsidR="000D5945" w:rsidRPr="0043487C" w:rsidRDefault="000D5945">
            <w:pPr>
              <w:jc w:val="center"/>
              <w:rPr>
                <w:rFonts w:cs="Calibri"/>
                <w:color w:val="000000"/>
                <w:sz w:val="18"/>
                <w:szCs w:val="18"/>
              </w:rPr>
            </w:pPr>
            <w:r>
              <w:rPr>
                <w:rFonts w:cs="Calibri"/>
                <w:color w:val="000000"/>
                <w:sz w:val="18"/>
                <w:szCs w:val="18"/>
              </w:rPr>
              <w:t>0.</w:t>
            </w:r>
            <w:r w:rsidR="00016CD3">
              <w:rPr>
                <w:rFonts w:cs="Calibri"/>
                <w:color w:val="000000"/>
                <w:sz w:val="18"/>
                <w:szCs w:val="18"/>
              </w:rPr>
              <w:t>0657</w:t>
            </w:r>
          </w:p>
        </w:tc>
        <w:tc>
          <w:tcPr>
            <w:tcW w:w="886" w:type="dxa"/>
            <w:tcBorders>
              <w:top w:val="nil"/>
              <w:left w:val="nil"/>
              <w:bottom w:val="nil"/>
            </w:tcBorders>
            <w:vAlign w:val="bottom"/>
          </w:tcPr>
          <w:p w14:paraId="570C1DE0" w14:textId="19744A6F" w:rsidR="000D5945" w:rsidRPr="0043487C" w:rsidRDefault="000D5945">
            <w:pPr>
              <w:jc w:val="center"/>
              <w:rPr>
                <w:rFonts w:cs="Calibri"/>
                <w:color w:val="000000"/>
                <w:sz w:val="18"/>
                <w:szCs w:val="18"/>
              </w:rPr>
            </w:pPr>
            <w:r>
              <w:rPr>
                <w:rFonts w:cs="Calibri"/>
                <w:color w:val="000000"/>
                <w:sz w:val="18"/>
                <w:szCs w:val="18"/>
              </w:rPr>
              <w:t>0.</w:t>
            </w:r>
            <w:r w:rsidR="00016CD3">
              <w:rPr>
                <w:rFonts w:cs="Calibri"/>
                <w:color w:val="000000"/>
                <w:sz w:val="18"/>
                <w:szCs w:val="18"/>
              </w:rPr>
              <w:t>0064</w:t>
            </w:r>
          </w:p>
        </w:tc>
      </w:tr>
      <w:tr w:rsidR="000D5945" w14:paraId="56DF3EDC" w14:textId="77777777" w:rsidTr="00F154AD">
        <w:trPr>
          <w:jc w:val="center"/>
        </w:trPr>
        <w:tc>
          <w:tcPr>
            <w:tcW w:w="1252" w:type="dxa"/>
            <w:tcBorders>
              <w:top w:val="nil"/>
              <w:bottom w:val="nil"/>
            </w:tcBorders>
            <w:vAlign w:val="bottom"/>
          </w:tcPr>
          <w:p w14:paraId="4FA526C7" w14:textId="77777777" w:rsidR="000D5945" w:rsidRPr="00DF4351" w:rsidRDefault="000D5945" w:rsidP="00F154AD">
            <w:pPr>
              <w:rPr>
                <w:rFonts w:cs="Calibri"/>
                <w:color w:val="000000"/>
                <w:sz w:val="18"/>
                <w:szCs w:val="18"/>
              </w:rPr>
            </w:pPr>
            <w:r>
              <w:rPr>
                <w:rFonts w:cs="Calibri"/>
                <w:color w:val="000000"/>
                <w:sz w:val="18"/>
                <w:szCs w:val="18"/>
              </w:rPr>
              <w:t>LSCC</w:t>
            </w:r>
          </w:p>
        </w:tc>
        <w:tc>
          <w:tcPr>
            <w:tcW w:w="1047" w:type="dxa"/>
            <w:tcBorders>
              <w:top w:val="nil"/>
              <w:bottom w:val="nil"/>
              <w:right w:val="nil"/>
            </w:tcBorders>
            <w:vAlign w:val="bottom"/>
          </w:tcPr>
          <w:p w14:paraId="0DCD6F1F" w14:textId="4FC3763F" w:rsidR="000D5945" w:rsidRPr="0043487C" w:rsidRDefault="000D5945">
            <w:pPr>
              <w:jc w:val="center"/>
              <w:rPr>
                <w:rFonts w:cs="Calibri"/>
                <w:color w:val="000000"/>
                <w:sz w:val="18"/>
                <w:szCs w:val="18"/>
              </w:rPr>
            </w:pPr>
            <w:r>
              <w:rPr>
                <w:rFonts w:cs="Calibri"/>
                <w:color w:val="000000"/>
                <w:sz w:val="18"/>
                <w:szCs w:val="18"/>
              </w:rPr>
              <w:t>0.</w:t>
            </w:r>
            <w:r w:rsidR="000749BA">
              <w:rPr>
                <w:rFonts w:cs="Calibri"/>
                <w:color w:val="000000"/>
                <w:sz w:val="18"/>
                <w:szCs w:val="18"/>
              </w:rPr>
              <w:t>6365</w:t>
            </w:r>
            <w:r w:rsidR="005E6B66">
              <w:rPr>
                <w:rFonts w:cs="Calibri"/>
                <w:color w:val="000000"/>
                <w:sz w:val="18"/>
                <w:szCs w:val="18"/>
              </w:rPr>
              <w:t>***</w:t>
            </w:r>
          </w:p>
        </w:tc>
        <w:tc>
          <w:tcPr>
            <w:tcW w:w="935" w:type="dxa"/>
            <w:tcBorders>
              <w:top w:val="nil"/>
              <w:left w:val="nil"/>
              <w:bottom w:val="nil"/>
              <w:right w:val="nil"/>
            </w:tcBorders>
            <w:vAlign w:val="bottom"/>
          </w:tcPr>
          <w:p w14:paraId="1D2CAF09" w14:textId="49334B6F" w:rsidR="000D5945" w:rsidRPr="0043487C" w:rsidRDefault="000D5945">
            <w:pPr>
              <w:jc w:val="center"/>
              <w:rPr>
                <w:rFonts w:cs="Calibri"/>
                <w:color w:val="000000"/>
                <w:sz w:val="18"/>
                <w:szCs w:val="18"/>
              </w:rPr>
            </w:pPr>
            <w:r>
              <w:rPr>
                <w:rFonts w:cs="Calibri"/>
                <w:color w:val="000000"/>
                <w:sz w:val="18"/>
                <w:szCs w:val="18"/>
              </w:rPr>
              <w:t>0.</w:t>
            </w:r>
            <w:r w:rsidR="00EF30A0">
              <w:rPr>
                <w:rFonts w:cs="Calibri"/>
                <w:color w:val="000000"/>
                <w:sz w:val="18"/>
                <w:szCs w:val="18"/>
              </w:rPr>
              <w:t>6429</w:t>
            </w:r>
          </w:p>
        </w:tc>
        <w:tc>
          <w:tcPr>
            <w:tcW w:w="913" w:type="dxa"/>
            <w:tcBorders>
              <w:top w:val="nil"/>
              <w:left w:val="nil"/>
              <w:bottom w:val="nil"/>
            </w:tcBorders>
            <w:vAlign w:val="bottom"/>
          </w:tcPr>
          <w:p w14:paraId="5643BDA4" w14:textId="0BAD9CE0" w:rsidR="000D5945" w:rsidRPr="0043487C" w:rsidRDefault="000D5945">
            <w:pPr>
              <w:jc w:val="center"/>
              <w:rPr>
                <w:rFonts w:cs="Calibri"/>
                <w:color w:val="000000"/>
                <w:sz w:val="18"/>
                <w:szCs w:val="18"/>
              </w:rPr>
            </w:pPr>
            <w:r>
              <w:rPr>
                <w:rFonts w:cs="Calibri"/>
                <w:color w:val="000000"/>
                <w:sz w:val="18"/>
                <w:szCs w:val="18"/>
              </w:rPr>
              <w:t>0.</w:t>
            </w:r>
            <w:r w:rsidR="009D3C47">
              <w:rPr>
                <w:rFonts w:cs="Calibri"/>
                <w:color w:val="000000"/>
                <w:sz w:val="18"/>
                <w:szCs w:val="18"/>
              </w:rPr>
              <w:t>6429</w:t>
            </w:r>
          </w:p>
        </w:tc>
        <w:tc>
          <w:tcPr>
            <w:tcW w:w="1174" w:type="dxa"/>
            <w:tcBorders>
              <w:top w:val="nil"/>
              <w:bottom w:val="nil"/>
              <w:right w:val="nil"/>
            </w:tcBorders>
            <w:vAlign w:val="bottom"/>
          </w:tcPr>
          <w:p w14:paraId="7FCF2074" w14:textId="1E712AC6" w:rsidR="000D5945" w:rsidRPr="0043487C" w:rsidRDefault="000D5945">
            <w:pPr>
              <w:jc w:val="center"/>
              <w:rPr>
                <w:rFonts w:cs="Calibri"/>
                <w:color w:val="000000"/>
                <w:sz w:val="18"/>
                <w:szCs w:val="18"/>
              </w:rPr>
            </w:pPr>
            <w:r>
              <w:rPr>
                <w:rFonts w:cs="Calibri"/>
                <w:color w:val="000000"/>
                <w:sz w:val="18"/>
                <w:szCs w:val="18"/>
              </w:rPr>
              <w:t>0.</w:t>
            </w:r>
            <w:r w:rsidR="00016CD3">
              <w:rPr>
                <w:rFonts w:cs="Calibri"/>
                <w:color w:val="000000"/>
                <w:sz w:val="18"/>
                <w:szCs w:val="18"/>
              </w:rPr>
              <w:t>3800</w:t>
            </w:r>
            <w:r w:rsidR="00CC6AB7">
              <w:rPr>
                <w:rFonts w:cs="Calibri"/>
                <w:color w:val="000000"/>
                <w:sz w:val="18"/>
                <w:szCs w:val="18"/>
              </w:rPr>
              <w:t>***</w:t>
            </w:r>
          </w:p>
        </w:tc>
        <w:tc>
          <w:tcPr>
            <w:tcW w:w="904" w:type="dxa"/>
            <w:tcBorders>
              <w:top w:val="nil"/>
              <w:left w:val="nil"/>
              <w:bottom w:val="nil"/>
              <w:right w:val="nil"/>
            </w:tcBorders>
            <w:vAlign w:val="bottom"/>
          </w:tcPr>
          <w:p w14:paraId="481D0737" w14:textId="57BCE381" w:rsidR="000D5945" w:rsidRPr="0043487C" w:rsidRDefault="000D5945">
            <w:pPr>
              <w:jc w:val="center"/>
              <w:rPr>
                <w:rFonts w:cs="Calibri"/>
                <w:color w:val="000000"/>
                <w:sz w:val="18"/>
                <w:szCs w:val="18"/>
              </w:rPr>
            </w:pPr>
            <w:r>
              <w:rPr>
                <w:rFonts w:cs="Calibri"/>
                <w:color w:val="000000"/>
                <w:sz w:val="18"/>
                <w:szCs w:val="18"/>
              </w:rPr>
              <w:t>0.</w:t>
            </w:r>
            <w:r w:rsidR="00016CD3">
              <w:rPr>
                <w:rFonts w:cs="Calibri"/>
                <w:color w:val="000000"/>
                <w:sz w:val="18"/>
                <w:szCs w:val="18"/>
              </w:rPr>
              <w:t>0064</w:t>
            </w:r>
          </w:p>
        </w:tc>
        <w:tc>
          <w:tcPr>
            <w:tcW w:w="886" w:type="dxa"/>
            <w:tcBorders>
              <w:top w:val="nil"/>
              <w:left w:val="nil"/>
              <w:bottom w:val="nil"/>
            </w:tcBorders>
            <w:vAlign w:val="bottom"/>
          </w:tcPr>
          <w:p w14:paraId="1CAA933D" w14:textId="067F35CF" w:rsidR="000D5945" w:rsidRPr="0043487C" w:rsidRDefault="000D5945">
            <w:pPr>
              <w:jc w:val="center"/>
              <w:rPr>
                <w:rFonts w:cs="Calibri"/>
                <w:color w:val="000000"/>
                <w:sz w:val="18"/>
                <w:szCs w:val="18"/>
              </w:rPr>
            </w:pPr>
            <w:r>
              <w:rPr>
                <w:rFonts w:cs="Calibri"/>
                <w:color w:val="000000"/>
                <w:sz w:val="18"/>
                <w:szCs w:val="18"/>
              </w:rPr>
              <w:t>0.</w:t>
            </w:r>
            <w:r w:rsidR="00016CD3">
              <w:rPr>
                <w:rFonts w:cs="Calibri"/>
                <w:color w:val="000000"/>
                <w:sz w:val="18"/>
                <w:szCs w:val="18"/>
              </w:rPr>
              <w:t>0624</w:t>
            </w:r>
          </w:p>
        </w:tc>
      </w:tr>
      <w:tr w:rsidR="000D5945" w14:paraId="3A0C6255" w14:textId="77777777" w:rsidTr="00F154AD">
        <w:trPr>
          <w:jc w:val="center"/>
        </w:trPr>
        <w:tc>
          <w:tcPr>
            <w:tcW w:w="1252" w:type="dxa"/>
            <w:tcBorders>
              <w:top w:val="nil"/>
              <w:bottom w:val="single" w:sz="4" w:space="0" w:color="auto"/>
            </w:tcBorders>
            <w:vAlign w:val="bottom"/>
          </w:tcPr>
          <w:p w14:paraId="4D7B6480" w14:textId="77777777" w:rsidR="000D5945" w:rsidRPr="00DF4351" w:rsidRDefault="000D5945" w:rsidP="00F154AD">
            <w:pPr>
              <w:rPr>
                <w:rFonts w:cs="Calibri"/>
                <w:color w:val="000000"/>
                <w:sz w:val="18"/>
                <w:szCs w:val="18"/>
              </w:rPr>
            </w:pPr>
          </w:p>
        </w:tc>
        <w:tc>
          <w:tcPr>
            <w:tcW w:w="1047" w:type="dxa"/>
            <w:tcBorders>
              <w:top w:val="nil"/>
              <w:bottom w:val="single" w:sz="4" w:space="0" w:color="auto"/>
              <w:right w:val="nil"/>
            </w:tcBorders>
            <w:vAlign w:val="bottom"/>
          </w:tcPr>
          <w:p w14:paraId="11CB4F88" w14:textId="77777777" w:rsidR="000D5945" w:rsidRPr="0043487C" w:rsidRDefault="000D5945" w:rsidP="00F154AD">
            <w:pPr>
              <w:jc w:val="center"/>
              <w:rPr>
                <w:rFonts w:cs="Calibri"/>
                <w:color w:val="000000"/>
                <w:sz w:val="18"/>
                <w:szCs w:val="18"/>
              </w:rPr>
            </w:pPr>
          </w:p>
        </w:tc>
        <w:tc>
          <w:tcPr>
            <w:tcW w:w="935" w:type="dxa"/>
            <w:tcBorders>
              <w:top w:val="nil"/>
              <w:left w:val="nil"/>
              <w:bottom w:val="single" w:sz="4" w:space="0" w:color="auto"/>
              <w:right w:val="nil"/>
            </w:tcBorders>
            <w:vAlign w:val="bottom"/>
          </w:tcPr>
          <w:p w14:paraId="3FB6BD64" w14:textId="77777777" w:rsidR="000D5945" w:rsidRPr="0043487C" w:rsidRDefault="000D5945" w:rsidP="00F154AD">
            <w:pPr>
              <w:jc w:val="center"/>
              <w:rPr>
                <w:rFonts w:cs="Calibri"/>
                <w:color w:val="000000"/>
                <w:sz w:val="18"/>
                <w:szCs w:val="18"/>
              </w:rPr>
            </w:pPr>
          </w:p>
        </w:tc>
        <w:tc>
          <w:tcPr>
            <w:tcW w:w="913" w:type="dxa"/>
            <w:tcBorders>
              <w:top w:val="nil"/>
              <w:left w:val="nil"/>
              <w:bottom w:val="single" w:sz="4" w:space="0" w:color="auto"/>
            </w:tcBorders>
            <w:vAlign w:val="bottom"/>
          </w:tcPr>
          <w:p w14:paraId="608C8CE1" w14:textId="77777777" w:rsidR="000D5945" w:rsidRPr="0043487C" w:rsidRDefault="000D5945" w:rsidP="00F154AD">
            <w:pPr>
              <w:jc w:val="center"/>
              <w:rPr>
                <w:rFonts w:cs="Calibri"/>
                <w:color w:val="000000"/>
                <w:sz w:val="18"/>
                <w:szCs w:val="18"/>
              </w:rPr>
            </w:pPr>
          </w:p>
        </w:tc>
        <w:tc>
          <w:tcPr>
            <w:tcW w:w="1174" w:type="dxa"/>
            <w:tcBorders>
              <w:top w:val="nil"/>
              <w:bottom w:val="single" w:sz="4" w:space="0" w:color="auto"/>
              <w:right w:val="nil"/>
            </w:tcBorders>
            <w:vAlign w:val="bottom"/>
          </w:tcPr>
          <w:p w14:paraId="0B056EA1" w14:textId="77777777" w:rsidR="000D5945" w:rsidRPr="0043487C" w:rsidRDefault="000D5945" w:rsidP="00F154AD">
            <w:pPr>
              <w:jc w:val="center"/>
              <w:rPr>
                <w:rFonts w:cs="Calibri"/>
                <w:color w:val="000000"/>
                <w:sz w:val="18"/>
                <w:szCs w:val="18"/>
              </w:rPr>
            </w:pPr>
          </w:p>
        </w:tc>
        <w:tc>
          <w:tcPr>
            <w:tcW w:w="904" w:type="dxa"/>
            <w:tcBorders>
              <w:top w:val="nil"/>
              <w:left w:val="nil"/>
              <w:bottom w:val="single" w:sz="4" w:space="0" w:color="auto"/>
              <w:right w:val="nil"/>
            </w:tcBorders>
            <w:vAlign w:val="bottom"/>
          </w:tcPr>
          <w:p w14:paraId="6A71D6A0" w14:textId="77777777" w:rsidR="000D5945" w:rsidRPr="0043487C" w:rsidRDefault="000D5945" w:rsidP="00F154AD">
            <w:pPr>
              <w:jc w:val="center"/>
              <w:rPr>
                <w:rFonts w:cs="Calibri"/>
                <w:color w:val="000000"/>
                <w:sz w:val="18"/>
                <w:szCs w:val="18"/>
              </w:rPr>
            </w:pPr>
          </w:p>
        </w:tc>
        <w:tc>
          <w:tcPr>
            <w:tcW w:w="886" w:type="dxa"/>
            <w:tcBorders>
              <w:top w:val="nil"/>
              <w:left w:val="nil"/>
              <w:bottom w:val="single" w:sz="4" w:space="0" w:color="auto"/>
            </w:tcBorders>
            <w:vAlign w:val="bottom"/>
          </w:tcPr>
          <w:p w14:paraId="2C43A48C" w14:textId="77777777" w:rsidR="000D5945" w:rsidRPr="0043487C" w:rsidRDefault="000D5945" w:rsidP="00F154AD">
            <w:pPr>
              <w:jc w:val="center"/>
              <w:rPr>
                <w:rFonts w:cs="Calibri"/>
                <w:color w:val="000000"/>
                <w:sz w:val="18"/>
                <w:szCs w:val="18"/>
              </w:rPr>
            </w:pPr>
          </w:p>
        </w:tc>
      </w:tr>
      <w:tr w:rsidR="000D5945" w14:paraId="070E4B79" w14:textId="77777777" w:rsidTr="00F154AD">
        <w:trPr>
          <w:jc w:val="center"/>
        </w:trPr>
        <w:tc>
          <w:tcPr>
            <w:tcW w:w="1252" w:type="dxa"/>
            <w:tcBorders>
              <w:bottom w:val="nil"/>
            </w:tcBorders>
          </w:tcPr>
          <w:p w14:paraId="082517B2" w14:textId="77777777" w:rsidR="000D5945" w:rsidRDefault="000D5945" w:rsidP="00F154AD"/>
        </w:tc>
        <w:tc>
          <w:tcPr>
            <w:tcW w:w="2895" w:type="dxa"/>
            <w:gridSpan w:val="3"/>
            <w:tcBorders>
              <w:bottom w:val="nil"/>
            </w:tcBorders>
          </w:tcPr>
          <w:p w14:paraId="120ABFB7" w14:textId="77777777" w:rsidR="000D5945" w:rsidRPr="00E24A54" w:rsidRDefault="000D5945" w:rsidP="00F154AD">
            <w:pPr>
              <w:jc w:val="center"/>
              <w:rPr>
                <w:sz w:val="18"/>
                <w:szCs w:val="18"/>
              </w:rPr>
            </w:pPr>
            <w:r w:rsidRPr="00E24A54">
              <w:rPr>
                <w:sz w:val="18"/>
                <w:szCs w:val="18"/>
              </w:rPr>
              <w:t>Post-crisis</w:t>
            </w:r>
          </w:p>
        </w:tc>
        <w:tc>
          <w:tcPr>
            <w:tcW w:w="2964" w:type="dxa"/>
            <w:gridSpan w:val="3"/>
            <w:tcBorders>
              <w:bottom w:val="nil"/>
            </w:tcBorders>
          </w:tcPr>
          <w:p w14:paraId="41697DDC" w14:textId="77777777" w:rsidR="000D5945" w:rsidRPr="00E24A54" w:rsidRDefault="000D5945" w:rsidP="00F154AD">
            <w:pPr>
              <w:jc w:val="center"/>
              <w:rPr>
                <w:sz w:val="18"/>
                <w:szCs w:val="18"/>
              </w:rPr>
            </w:pPr>
            <w:r w:rsidRPr="00E24A54">
              <w:rPr>
                <w:sz w:val="18"/>
                <w:szCs w:val="18"/>
              </w:rPr>
              <w:t>Post-crisis</w:t>
            </w:r>
          </w:p>
        </w:tc>
      </w:tr>
      <w:tr w:rsidR="000D5945" w14:paraId="6492582E" w14:textId="77777777" w:rsidTr="00F154AD">
        <w:trPr>
          <w:jc w:val="center"/>
        </w:trPr>
        <w:tc>
          <w:tcPr>
            <w:tcW w:w="1252" w:type="dxa"/>
            <w:tcBorders>
              <w:top w:val="nil"/>
              <w:bottom w:val="nil"/>
            </w:tcBorders>
            <w:vAlign w:val="bottom"/>
          </w:tcPr>
          <w:p w14:paraId="4A721FAC" w14:textId="77777777" w:rsidR="000D5945" w:rsidRPr="00DF4351" w:rsidRDefault="000D5945" w:rsidP="00F154AD">
            <w:pPr>
              <w:rPr>
                <w:rFonts w:cs="Calibri"/>
                <w:color w:val="000000"/>
                <w:sz w:val="18"/>
                <w:szCs w:val="18"/>
              </w:rPr>
            </w:pPr>
          </w:p>
        </w:tc>
        <w:tc>
          <w:tcPr>
            <w:tcW w:w="2895" w:type="dxa"/>
            <w:gridSpan w:val="3"/>
            <w:tcBorders>
              <w:top w:val="nil"/>
              <w:bottom w:val="nil"/>
            </w:tcBorders>
            <w:vAlign w:val="bottom"/>
          </w:tcPr>
          <w:p w14:paraId="1735E49A" w14:textId="77777777" w:rsidR="000D5945" w:rsidRDefault="000D5945" w:rsidP="00F154AD">
            <w:pPr>
              <w:jc w:val="center"/>
              <w:rPr>
                <w:rFonts w:cs="Arial"/>
                <w:color w:val="000000"/>
                <w:sz w:val="18"/>
                <w:szCs w:val="18"/>
              </w:rPr>
            </w:pPr>
            <w:r>
              <w:rPr>
                <w:sz w:val="18"/>
                <w:szCs w:val="18"/>
              </w:rPr>
              <w:t>2-Apr-09 -</w:t>
            </w:r>
            <w:r w:rsidRPr="001A1587">
              <w:rPr>
                <w:sz w:val="18"/>
                <w:szCs w:val="18"/>
              </w:rPr>
              <w:t xml:space="preserve"> 31-Mar-10</w:t>
            </w:r>
          </w:p>
        </w:tc>
        <w:tc>
          <w:tcPr>
            <w:tcW w:w="2964" w:type="dxa"/>
            <w:gridSpan w:val="3"/>
            <w:tcBorders>
              <w:top w:val="nil"/>
              <w:bottom w:val="nil"/>
            </w:tcBorders>
            <w:vAlign w:val="bottom"/>
          </w:tcPr>
          <w:p w14:paraId="098F96A1" w14:textId="77777777" w:rsidR="000D5945" w:rsidRDefault="000D5945" w:rsidP="00F154AD">
            <w:pPr>
              <w:jc w:val="center"/>
              <w:rPr>
                <w:rFonts w:cs="Arial"/>
                <w:color w:val="000000"/>
                <w:sz w:val="18"/>
                <w:szCs w:val="18"/>
              </w:rPr>
            </w:pPr>
            <w:r>
              <w:rPr>
                <w:sz w:val="18"/>
                <w:szCs w:val="18"/>
              </w:rPr>
              <w:t>2-Apr-09 -</w:t>
            </w:r>
            <w:r w:rsidRPr="001A1587">
              <w:rPr>
                <w:sz w:val="18"/>
                <w:szCs w:val="18"/>
              </w:rPr>
              <w:t xml:space="preserve"> 31-Mar-10</w:t>
            </w:r>
          </w:p>
        </w:tc>
      </w:tr>
      <w:tr w:rsidR="000D5945" w14:paraId="23496DFB" w14:textId="77777777" w:rsidTr="00F154AD">
        <w:trPr>
          <w:jc w:val="center"/>
        </w:trPr>
        <w:tc>
          <w:tcPr>
            <w:tcW w:w="1252" w:type="dxa"/>
            <w:tcBorders>
              <w:top w:val="nil"/>
              <w:bottom w:val="nil"/>
            </w:tcBorders>
            <w:vAlign w:val="bottom"/>
          </w:tcPr>
          <w:p w14:paraId="5D4DD7AB" w14:textId="77777777" w:rsidR="000D5945" w:rsidRPr="00DF4351" w:rsidRDefault="000D5945" w:rsidP="00F154AD">
            <w:pPr>
              <w:rPr>
                <w:rFonts w:cs="Calibri"/>
                <w:color w:val="000000"/>
                <w:sz w:val="18"/>
                <w:szCs w:val="18"/>
              </w:rPr>
            </w:pPr>
          </w:p>
        </w:tc>
        <w:tc>
          <w:tcPr>
            <w:tcW w:w="2895" w:type="dxa"/>
            <w:gridSpan w:val="3"/>
            <w:tcBorders>
              <w:top w:val="nil"/>
              <w:bottom w:val="nil"/>
            </w:tcBorders>
            <w:vAlign w:val="bottom"/>
          </w:tcPr>
          <w:p w14:paraId="0E5797BC" w14:textId="77777777" w:rsidR="000D5945" w:rsidRDefault="000D5945" w:rsidP="00F154AD">
            <w:pPr>
              <w:jc w:val="center"/>
              <w:rPr>
                <w:rFonts w:cs="Arial"/>
                <w:color w:val="000000"/>
                <w:sz w:val="18"/>
                <w:szCs w:val="18"/>
              </w:rPr>
            </w:pPr>
          </w:p>
        </w:tc>
        <w:tc>
          <w:tcPr>
            <w:tcW w:w="2964" w:type="dxa"/>
            <w:gridSpan w:val="3"/>
            <w:tcBorders>
              <w:top w:val="nil"/>
              <w:bottom w:val="nil"/>
            </w:tcBorders>
            <w:vAlign w:val="bottom"/>
          </w:tcPr>
          <w:p w14:paraId="5164CE41" w14:textId="77777777" w:rsidR="000D5945" w:rsidRDefault="000D5945" w:rsidP="00F154AD">
            <w:pPr>
              <w:jc w:val="center"/>
              <w:rPr>
                <w:rFonts w:cs="Arial"/>
                <w:color w:val="000000"/>
                <w:sz w:val="18"/>
                <w:szCs w:val="18"/>
              </w:rPr>
            </w:pPr>
          </w:p>
        </w:tc>
      </w:tr>
      <w:tr w:rsidR="000D5945" w14:paraId="45B72CDA" w14:textId="77777777" w:rsidTr="00F154AD">
        <w:trPr>
          <w:jc w:val="center"/>
        </w:trPr>
        <w:tc>
          <w:tcPr>
            <w:tcW w:w="1252" w:type="dxa"/>
            <w:tcBorders>
              <w:top w:val="nil"/>
              <w:bottom w:val="nil"/>
            </w:tcBorders>
            <w:vAlign w:val="bottom"/>
          </w:tcPr>
          <w:p w14:paraId="530CEBE8" w14:textId="77777777" w:rsidR="000D5945" w:rsidRPr="00DF4351" w:rsidRDefault="000D5945" w:rsidP="00F154AD">
            <w:pPr>
              <w:rPr>
                <w:rFonts w:cs="Calibri"/>
                <w:color w:val="000000"/>
                <w:sz w:val="18"/>
                <w:szCs w:val="18"/>
              </w:rPr>
            </w:pPr>
            <w:r>
              <w:rPr>
                <w:rFonts w:cs="Calibri"/>
                <w:color w:val="000000"/>
                <w:sz w:val="18"/>
                <w:szCs w:val="18"/>
              </w:rPr>
              <w:t>C</w:t>
            </w:r>
            <w:r w:rsidRPr="00DF4351">
              <w:rPr>
                <w:rFonts w:cs="Calibri"/>
                <w:color w:val="000000"/>
                <w:sz w:val="18"/>
                <w:szCs w:val="18"/>
              </w:rPr>
              <w:t>C</w:t>
            </w:r>
          </w:p>
        </w:tc>
        <w:tc>
          <w:tcPr>
            <w:tcW w:w="1047" w:type="dxa"/>
            <w:tcBorders>
              <w:top w:val="nil"/>
              <w:bottom w:val="nil"/>
              <w:right w:val="nil"/>
            </w:tcBorders>
            <w:vAlign w:val="bottom"/>
          </w:tcPr>
          <w:p w14:paraId="31C30630" w14:textId="5DB52D6A" w:rsidR="000D5945" w:rsidRDefault="000D5945">
            <w:pPr>
              <w:jc w:val="center"/>
              <w:rPr>
                <w:rFonts w:cs="Arial"/>
                <w:color w:val="000000"/>
                <w:sz w:val="18"/>
                <w:szCs w:val="18"/>
              </w:rPr>
            </w:pPr>
            <w:r>
              <w:rPr>
                <w:rFonts w:cs="Arial"/>
                <w:color w:val="000000"/>
                <w:sz w:val="18"/>
                <w:szCs w:val="18"/>
              </w:rPr>
              <w:t>0.</w:t>
            </w:r>
            <w:r w:rsidR="00673040">
              <w:rPr>
                <w:rFonts w:cs="Arial"/>
                <w:color w:val="000000"/>
                <w:sz w:val="18"/>
                <w:szCs w:val="18"/>
              </w:rPr>
              <w:t>3074</w:t>
            </w:r>
            <w:r w:rsidR="004557F8">
              <w:rPr>
                <w:rFonts w:cs="Arial"/>
                <w:color w:val="000000"/>
                <w:sz w:val="18"/>
                <w:szCs w:val="18"/>
              </w:rPr>
              <w:t>***</w:t>
            </w:r>
          </w:p>
        </w:tc>
        <w:tc>
          <w:tcPr>
            <w:tcW w:w="935" w:type="dxa"/>
            <w:tcBorders>
              <w:top w:val="nil"/>
              <w:left w:val="nil"/>
              <w:bottom w:val="nil"/>
              <w:right w:val="nil"/>
            </w:tcBorders>
            <w:vAlign w:val="bottom"/>
          </w:tcPr>
          <w:p w14:paraId="21D1304A" w14:textId="0661E932" w:rsidR="000D5945" w:rsidRDefault="000D5945">
            <w:pPr>
              <w:jc w:val="center"/>
              <w:rPr>
                <w:rFonts w:cs="Arial"/>
                <w:color w:val="000000"/>
                <w:sz w:val="18"/>
                <w:szCs w:val="18"/>
              </w:rPr>
            </w:pPr>
            <w:r>
              <w:rPr>
                <w:rFonts w:cs="Arial"/>
                <w:color w:val="000000"/>
                <w:sz w:val="18"/>
                <w:szCs w:val="18"/>
              </w:rPr>
              <w:t>0.</w:t>
            </w:r>
            <w:r w:rsidR="00673040">
              <w:rPr>
                <w:rFonts w:cs="Arial"/>
                <w:color w:val="000000"/>
                <w:sz w:val="18"/>
                <w:szCs w:val="18"/>
              </w:rPr>
              <w:t>3291</w:t>
            </w:r>
          </w:p>
        </w:tc>
        <w:tc>
          <w:tcPr>
            <w:tcW w:w="913" w:type="dxa"/>
            <w:tcBorders>
              <w:top w:val="nil"/>
              <w:left w:val="nil"/>
              <w:bottom w:val="nil"/>
            </w:tcBorders>
            <w:vAlign w:val="bottom"/>
          </w:tcPr>
          <w:p w14:paraId="713639FB" w14:textId="70482933" w:rsidR="000D5945" w:rsidRDefault="000D5945">
            <w:pPr>
              <w:jc w:val="center"/>
              <w:rPr>
                <w:rFonts w:cs="Arial"/>
                <w:color w:val="000000"/>
                <w:sz w:val="18"/>
                <w:szCs w:val="18"/>
              </w:rPr>
            </w:pPr>
            <w:r>
              <w:rPr>
                <w:rFonts w:cs="Arial"/>
                <w:color w:val="000000"/>
                <w:sz w:val="18"/>
                <w:szCs w:val="18"/>
              </w:rPr>
              <w:t>0.</w:t>
            </w:r>
            <w:r w:rsidR="00EF6DA3">
              <w:rPr>
                <w:rFonts w:cs="Arial"/>
                <w:color w:val="000000"/>
                <w:sz w:val="18"/>
                <w:szCs w:val="18"/>
              </w:rPr>
              <w:t>1369</w:t>
            </w:r>
          </w:p>
        </w:tc>
        <w:tc>
          <w:tcPr>
            <w:tcW w:w="1174" w:type="dxa"/>
            <w:tcBorders>
              <w:top w:val="nil"/>
              <w:bottom w:val="nil"/>
              <w:right w:val="nil"/>
            </w:tcBorders>
            <w:vAlign w:val="bottom"/>
          </w:tcPr>
          <w:p w14:paraId="485B4DBD" w14:textId="3422690F" w:rsidR="000D5945" w:rsidRDefault="000D5945">
            <w:pPr>
              <w:jc w:val="center"/>
              <w:rPr>
                <w:rFonts w:cs="Arial"/>
                <w:color w:val="000000"/>
                <w:sz w:val="18"/>
                <w:szCs w:val="18"/>
              </w:rPr>
            </w:pPr>
            <w:r>
              <w:rPr>
                <w:rFonts w:cs="Arial"/>
                <w:color w:val="000000"/>
                <w:sz w:val="18"/>
                <w:szCs w:val="18"/>
              </w:rPr>
              <w:t>0.</w:t>
            </w:r>
            <w:r w:rsidR="00102704">
              <w:rPr>
                <w:rFonts w:cs="Arial"/>
                <w:color w:val="000000"/>
                <w:sz w:val="18"/>
                <w:szCs w:val="18"/>
              </w:rPr>
              <w:t>2863</w:t>
            </w:r>
            <w:r w:rsidR="00CC6AB7">
              <w:rPr>
                <w:rFonts w:cs="Arial"/>
                <w:color w:val="000000"/>
                <w:sz w:val="18"/>
                <w:szCs w:val="18"/>
              </w:rPr>
              <w:t>***</w:t>
            </w:r>
          </w:p>
        </w:tc>
        <w:tc>
          <w:tcPr>
            <w:tcW w:w="904" w:type="dxa"/>
            <w:tcBorders>
              <w:top w:val="nil"/>
              <w:left w:val="nil"/>
              <w:bottom w:val="nil"/>
              <w:right w:val="nil"/>
            </w:tcBorders>
            <w:vAlign w:val="bottom"/>
          </w:tcPr>
          <w:p w14:paraId="71C239BA" w14:textId="0CB35A8F" w:rsidR="000D5945" w:rsidRDefault="000D5945">
            <w:pPr>
              <w:jc w:val="center"/>
              <w:rPr>
                <w:rFonts w:cs="Arial"/>
                <w:color w:val="000000"/>
                <w:sz w:val="18"/>
                <w:szCs w:val="18"/>
              </w:rPr>
            </w:pPr>
            <w:r>
              <w:rPr>
                <w:rFonts w:cs="Arial"/>
                <w:color w:val="000000"/>
                <w:sz w:val="18"/>
                <w:szCs w:val="18"/>
              </w:rPr>
              <w:t>0.</w:t>
            </w:r>
            <w:r w:rsidR="00102704">
              <w:rPr>
                <w:rFonts w:cs="Arial"/>
                <w:color w:val="000000"/>
                <w:sz w:val="18"/>
                <w:szCs w:val="18"/>
              </w:rPr>
              <w:t>2818</w:t>
            </w:r>
          </w:p>
        </w:tc>
        <w:tc>
          <w:tcPr>
            <w:tcW w:w="886" w:type="dxa"/>
            <w:tcBorders>
              <w:top w:val="nil"/>
              <w:left w:val="nil"/>
              <w:bottom w:val="nil"/>
            </w:tcBorders>
            <w:vAlign w:val="bottom"/>
          </w:tcPr>
          <w:p w14:paraId="432D8E41" w14:textId="34465B62" w:rsidR="000D5945" w:rsidRDefault="000D5945">
            <w:pPr>
              <w:jc w:val="center"/>
              <w:rPr>
                <w:rFonts w:cs="Arial"/>
                <w:color w:val="000000"/>
                <w:sz w:val="18"/>
                <w:szCs w:val="18"/>
              </w:rPr>
            </w:pPr>
            <w:r>
              <w:rPr>
                <w:rFonts w:cs="Arial"/>
                <w:color w:val="000000"/>
                <w:sz w:val="18"/>
                <w:szCs w:val="18"/>
              </w:rPr>
              <w:t>0.</w:t>
            </w:r>
            <w:r w:rsidR="00102704">
              <w:rPr>
                <w:rFonts w:cs="Arial"/>
                <w:color w:val="000000"/>
                <w:sz w:val="18"/>
                <w:szCs w:val="18"/>
              </w:rPr>
              <w:t>0189</w:t>
            </w:r>
          </w:p>
        </w:tc>
      </w:tr>
      <w:tr w:rsidR="000D5945" w14:paraId="6B0522FC" w14:textId="77777777" w:rsidTr="00F154AD">
        <w:trPr>
          <w:jc w:val="center"/>
        </w:trPr>
        <w:tc>
          <w:tcPr>
            <w:tcW w:w="1252" w:type="dxa"/>
            <w:tcBorders>
              <w:top w:val="nil"/>
              <w:bottom w:val="nil"/>
            </w:tcBorders>
            <w:vAlign w:val="bottom"/>
          </w:tcPr>
          <w:p w14:paraId="1F408DD9" w14:textId="77777777" w:rsidR="000D5945" w:rsidRPr="00DF4351" w:rsidRDefault="000D5945" w:rsidP="00F154AD">
            <w:pPr>
              <w:rPr>
                <w:rFonts w:cs="Calibri"/>
                <w:color w:val="000000"/>
                <w:sz w:val="18"/>
                <w:szCs w:val="18"/>
              </w:rPr>
            </w:pPr>
            <w:r w:rsidRPr="00DF4351">
              <w:rPr>
                <w:rFonts w:cs="Calibri"/>
                <w:color w:val="000000"/>
                <w:sz w:val="18"/>
                <w:szCs w:val="18"/>
              </w:rPr>
              <w:t>Closeness</w:t>
            </w:r>
          </w:p>
        </w:tc>
        <w:tc>
          <w:tcPr>
            <w:tcW w:w="1047" w:type="dxa"/>
            <w:tcBorders>
              <w:top w:val="nil"/>
              <w:bottom w:val="nil"/>
              <w:right w:val="nil"/>
            </w:tcBorders>
            <w:vAlign w:val="bottom"/>
          </w:tcPr>
          <w:p w14:paraId="0A8E91D5" w14:textId="7250104C" w:rsidR="000D5945" w:rsidRPr="0043487C" w:rsidRDefault="000D5945">
            <w:pPr>
              <w:jc w:val="center"/>
              <w:rPr>
                <w:rFonts w:cs="Calibri"/>
                <w:color w:val="000000"/>
                <w:sz w:val="18"/>
                <w:szCs w:val="18"/>
              </w:rPr>
            </w:pPr>
            <w:r>
              <w:rPr>
                <w:rFonts w:cs="Calibri"/>
                <w:color w:val="000000"/>
                <w:sz w:val="18"/>
                <w:szCs w:val="18"/>
              </w:rPr>
              <w:t>0.</w:t>
            </w:r>
            <w:r w:rsidR="00673040">
              <w:rPr>
                <w:rFonts w:cs="Calibri"/>
                <w:color w:val="000000"/>
                <w:sz w:val="18"/>
                <w:szCs w:val="18"/>
              </w:rPr>
              <w:t>1360</w:t>
            </w:r>
            <w:r w:rsidR="005E6B66">
              <w:rPr>
                <w:rFonts w:cs="Calibri"/>
                <w:color w:val="000000"/>
                <w:sz w:val="18"/>
                <w:szCs w:val="18"/>
              </w:rPr>
              <w:t>***</w:t>
            </w:r>
          </w:p>
        </w:tc>
        <w:tc>
          <w:tcPr>
            <w:tcW w:w="935" w:type="dxa"/>
            <w:tcBorders>
              <w:top w:val="nil"/>
              <w:left w:val="nil"/>
              <w:bottom w:val="nil"/>
              <w:right w:val="nil"/>
            </w:tcBorders>
            <w:vAlign w:val="bottom"/>
          </w:tcPr>
          <w:p w14:paraId="1A7D3D3F" w14:textId="10ABE305" w:rsidR="000D5945" w:rsidRPr="0043487C" w:rsidRDefault="000D5945">
            <w:pPr>
              <w:jc w:val="center"/>
              <w:rPr>
                <w:rFonts w:cs="Calibri"/>
                <w:color w:val="000000"/>
                <w:sz w:val="18"/>
                <w:szCs w:val="18"/>
              </w:rPr>
            </w:pPr>
            <w:r>
              <w:rPr>
                <w:rFonts w:cs="Calibri"/>
                <w:color w:val="000000"/>
                <w:sz w:val="18"/>
                <w:szCs w:val="18"/>
              </w:rPr>
              <w:t>0.</w:t>
            </w:r>
            <w:r w:rsidR="00673040">
              <w:rPr>
                <w:rFonts w:cs="Calibri"/>
                <w:color w:val="000000"/>
                <w:sz w:val="18"/>
                <w:szCs w:val="18"/>
              </w:rPr>
              <w:t>1181</w:t>
            </w:r>
          </w:p>
        </w:tc>
        <w:tc>
          <w:tcPr>
            <w:tcW w:w="913" w:type="dxa"/>
            <w:tcBorders>
              <w:top w:val="nil"/>
              <w:left w:val="nil"/>
              <w:bottom w:val="nil"/>
            </w:tcBorders>
            <w:vAlign w:val="bottom"/>
          </w:tcPr>
          <w:p w14:paraId="51A35B73" w14:textId="02D24BD2" w:rsidR="000D5945" w:rsidRPr="0043487C" w:rsidRDefault="000D5945">
            <w:pPr>
              <w:jc w:val="center"/>
              <w:rPr>
                <w:rFonts w:cs="Calibri"/>
                <w:color w:val="000000"/>
                <w:sz w:val="18"/>
                <w:szCs w:val="18"/>
              </w:rPr>
            </w:pPr>
            <w:r>
              <w:rPr>
                <w:rFonts w:cs="Calibri"/>
                <w:color w:val="000000"/>
                <w:sz w:val="18"/>
                <w:szCs w:val="18"/>
              </w:rPr>
              <w:t>0.</w:t>
            </w:r>
            <w:r w:rsidR="00EF6DA3">
              <w:rPr>
                <w:rFonts w:cs="Calibri"/>
                <w:color w:val="000000"/>
                <w:sz w:val="18"/>
                <w:szCs w:val="18"/>
              </w:rPr>
              <w:t>0725</w:t>
            </w:r>
          </w:p>
        </w:tc>
        <w:tc>
          <w:tcPr>
            <w:tcW w:w="1174" w:type="dxa"/>
            <w:tcBorders>
              <w:top w:val="nil"/>
              <w:bottom w:val="nil"/>
              <w:right w:val="nil"/>
            </w:tcBorders>
            <w:vAlign w:val="bottom"/>
          </w:tcPr>
          <w:p w14:paraId="02F82226" w14:textId="23626E27" w:rsidR="000D5945" w:rsidRPr="0043487C" w:rsidRDefault="000D5945">
            <w:pPr>
              <w:jc w:val="center"/>
              <w:rPr>
                <w:rFonts w:cs="Calibri"/>
                <w:color w:val="000000"/>
                <w:sz w:val="18"/>
                <w:szCs w:val="18"/>
              </w:rPr>
            </w:pPr>
            <w:r>
              <w:rPr>
                <w:rFonts w:cs="Calibri"/>
                <w:color w:val="000000"/>
                <w:sz w:val="18"/>
                <w:szCs w:val="18"/>
              </w:rPr>
              <w:t>0.</w:t>
            </w:r>
            <w:r w:rsidR="00102704">
              <w:rPr>
                <w:rFonts w:cs="Calibri"/>
                <w:color w:val="000000"/>
                <w:sz w:val="18"/>
                <w:szCs w:val="18"/>
              </w:rPr>
              <w:t>0109</w:t>
            </w:r>
            <w:r w:rsidR="00CC6AB7">
              <w:rPr>
                <w:rFonts w:cs="Calibri"/>
                <w:color w:val="000000"/>
                <w:sz w:val="18"/>
                <w:szCs w:val="18"/>
              </w:rPr>
              <w:t>***</w:t>
            </w:r>
          </w:p>
        </w:tc>
        <w:tc>
          <w:tcPr>
            <w:tcW w:w="904" w:type="dxa"/>
            <w:tcBorders>
              <w:top w:val="nil"/>
              <w:left w:val="nil"/>
              <w:bottom w:val="nil"/>
              <w:right w:val="nil"/>
            </w:tcBorders>
            <w:vAlign w:val="bottom"/>
          </w:tcPr>
          <w:p w14:paraId="0442B758" w14:textId="11BC3533" w:rsidR="000D5945" w:rsidRPr="0043487C" w:rsidRDefault="000D5945">
            <w:pPr>
              <w:jc w:val="center"/>
              <w:rPr>
                <w:rFonts w:cs="Calibri"/>
                <w:color w:val="000000"/>
                <w:sz w:val="18"/>
                <w:szCs w:val="18"/>
              </w:rPr>
            </w:pPr>
            <w:r>
              <w:rPr>
                <w:rFonts w:cs="Calibri"/>
                <w:color w:val="000000"/>
                <w:sz w:val="18"/>
                <w:szCs w:val="18"/>
              </w:rPr>
              <w:t>0.</w:t>
            </w:r>
            <w:r w:rsidR="00102704">
              <w:rPr>
                <w:rFonts w:cs="Calibri"/>
                <w:color w:val="000000"/>
                <w:sz w:val="18"/>
                <w:szCs w:val="18"/>
              </w:rPr>
              <w:t>0110</w:t>
            </w:r>
          </w:p>
        </w:tc>
        <w:tc>
          <w:tcPr>
            <w:tcW w:w="886" w:type="dxa"/>
            <w:tcBorders>
              <w:top w:val="nil"/>
              <w:left w:val="nil"/>
              <w:bottom w:val="nil"/>
            </w:tcBorders>
            <w:vAlign w:val="bottom"/>
          </w:tcPr>
          <w:p w14:paraId="0E804C8B" w14:textId="60B5550D" w:rsidR="000D5945" w:rsidRPr="0043487C" w:rsidRDefault="000D5945">
            <w:pPr>
              <w:jc w:val="center"/>
              <w:rPr>
                <w:rFonts w:cs="Calibri"/>
                <w:color w:val="000000"/>
                <w:sz w:val="18"/>
                <w:szCs w:val="18"/>
              </w:rPr>
            </w:pPr>
            <w:r>
              <w:rPr>
                <w:rFonts w:cs="Calibri"/>
                <w:color w:val="000000"/>
                <w:sz w:val="18"/>
                <w:szCs w:val="18"/>
              </w:rPr>
              <w:t>0.002</w:t>
            </w:r>
            <w:r w:rsidR="00102704">
              <w:rPr>
                <w:rFonts w:cs="Calibri"/>
                <w:color w:val="000000"/>
                <w:sz w:val="18"/>
                <w:szCs w:val="18"/>
              </w:rPr>
              <w:t>2</w:t>
            </w:r>
          </w:p>
        </w:tc>
      </w:tr>
      <w:tr w:rsidR="000D5945" w14:paraId="125A899F" w14:textId="77777777" w:rsidTr="00F154AD">
        <w:trPr>
          <w:jc w:val="center"/>
        </w:trPr>
        <w:tc>
          <w:tcPr>
            <w:tcW w:w="1252" w:type="dxa"/>
            <w:tcBorders>
              <w:top w:val="nil"/>
              <w:bottom w:val="nil"/>
            </w:tcBorders>
            <w:vAlign w:val="bottom"/>
          </w:tcPr>
          <w:p w14:paraId="3F1C1ED6" w14:textId="77777777" w:rsidR="000D5945" w:rsidRPr="00DF4351" w:rsidRDefault="000D5945" w:rsidP="00F154AD">
            <w:pPr>
              <w:rPr>
                <w:rFonts w:cs="Calibri"/>
                <w:color w:val="000000"/>
                <w:sz w:val="18"/>
                <w:szCs w:val="18"/>
              </w:rPr>
            </w:pPr>
            <w:r>
              <w:rPr>
                <w:rFonts w:cs="Calibri"/>
                <w:color w:val="000000"/>
                <w:sz w:val="18"/>
                <w:szCs w:val="18"/>
              </w:rPr>
              <w:t>Degree</w:t>
            </w:r>
          </w:p>
        </w:tc>
        <w:tc>
          <w:tcPr>
            <w:tcW w:w="1047" w:type="dxa"/>
            <w:tcBorders>
              <w:top w:val="nil"/>
              <w:bottom w:val="nil"/>
              <w:right w:val="nil"/>
            </w:tcBorders>
            <w:vAlign w:val="bottom"/>
          </w:tcPr>
          <w:p w14:paraId="34D7CE96" w14:textId="4923ABEC" w:rsidR="000D5945" w:rsidRPr="0043487C" w:rsidRDefault="000D5945">
            <w:pPr>
              <w:jc w:val="center"/>
              <w:rPr>
                <w:rFonts w:cs="Calibri"/>
                <w:color w:val="000000"/>
                <w:sz w:val="18"/>
                <w:szCs w:val="18"/>
              </w:rPr>
            </w:pPr>
            <w:r>
              <w:rPr>
                <w:rFonts w:cs="Calibri"/>
                <w:color w:val="000000"/>
                <w:sz w:val="18"/>
                <w:szCs w:val="18"/>
              </w:rPr>
              <w:t>0.</w:t>
            </w:r>
            <w:r w:rsidR="00673040">
              <w:rPr>
                <w:rFonts w:cs="Calibri"/>
                <w:color w:val="000000"/>
                <w:sz w:val="18"/>
                <w:szCs w:val="18"/>
              </w:rPr>
              <w:t>1561</w:t>
            </w:r>
            <w:r w:rsidR="004557F8">
              <w:rPr>
                <w:rFonts w:cs="Calibri"/>
                <w:color w:val="000000"/>
                <w:sz w:val="18"/>
                <w:szCs w:val="18"/>
              </w:rPr>
              <w:t>***</w:t>
            </w:r>
          </w:p>
        </w:tc>
        <w:tc>
          <w:tcPr>
            <w:tcW w:w="935" w:type="dxa"/>
            <w:tcBorders>
              <w:top w:val="nil"/>
              <w:left w:val="nil"/>
              <w:bottom w:val="nil"/>
              <w:right w:val="nil"/>
            </w:tcBorders>
            <w:vAlign w:val="bottom"/>
          </w:tcPr>
          <w:p w14:paraId="561D17F9" w14:textId="3E751C0A" w:rsidR="000D5945" w:rsidRPr="0043487C" w:rsidRDefault="000D5945">
            <w:pPr>
              <w:jc w:val="center"/>
              <w:rPr>
                <w:rFonts w:cs="Calibri"/>
                <w:color w:val="000000"/>
                <w:sz w:val="18"/>
                <w:szCs w:val="18"/>
              </w:rPr>
            </w:pPr>
            <w:r>
              <w:rPr>
                <w:rFonts w:cs="Calibri"/>
                <w:color w:val="000000"/>
                <w:sz w:val="18"/>
                <w:szCs w:val="18"/>
              </w:rPr>
              <w:t>0.</w:t>
            </w:r>
            <w:r w:rsidR="00673040">
              <w:rPr>
                <w:rFonts w:cs="Calibri"/>
                <w:color w:val="000000"/>
                <w:sz w:val="18"/>
                <w:szCs w:val="18"/>
              </w:rPr>
              <w:t>1700</w:t>
            </w:r>
          </w:p>
        </w:tc>
        <w:tc>
          <w:tcPr>
            <w:tcW w:w="913" w:type="dxa"/>
            <w:tcBorders>
              <w:top w:val="nil"/>
              <w:left w:val="nil"/>
              <w:bottom w:val="nil"/>
            </w:tcBorders>
            <w:vAlign w:val="bottom"/>
          </w:tcPr>
          <w:p w14:paraId="352D903D" w14:textId="49CB73FA" w:rsidR="000D5945" w:rsidRPr="0043487C" w:rsidRDefault="000D5945">
            <w:pPr>
              <w:jc w:val="center"/>
              <w:rPr>
                <w:rFonts w:cs="Calibri"/>
                <w:color w:val="000000"/>
                <w:sz w:val="18"/>
                <w:szCs w:val="18"/>
              </w:rPr>
            </w:pPr>
            <w:r>
              <w:rPr>
                <w:rFonts w:cs="Calibri"/>
                <w:color w:val="000000"/>
                <w:sz w:val="18"/>
                <w:szCs w:val="18"/>
              </w:rPr>
              <w:t>0.</w:t>
            </w:r>
            <w:r w:rsidR="00EF6DA3">
              <w:rPr>
                <w:rFonts w:cs="Calibri"/>
                <w:color w:val="000000"/>
                <w:sz w:val="18"/>
                <w:szCs w:val="18"/>
              </w:rPr>
              <w:t>0709</w:t>
            </w:r>
          </w:p>
        </w:tc>
        <w:tc>
          <w:tcPr>
            <w:tcW w:w="1174" w:type="dxa"/>
            <w:tcBorders>
              <w:top w:val="nil"/>
              <w:bottom w:val="nil"/>
              <w:right w:val="nil"/>
            </w:tcBorders>
            <w:vAlign w:val="bottom"/>
          </w:tcPr>
          <w:p w14:paraId="30033367" w14:textId="112D76A4" w:rsidR="000D5945" w:rsidRPr="0043487C" w:rsidRDefault="000D5945">
            <w:pPr>
              <w:jc w:val="center"/>
              <w:rPr>
                <w:rFonts w:cs="Calibri"/>
                <w:color w:val="000000"/>
                <w:sz w:val="18"/>
                <w:szCs w:val="18"/>
              </w:rPr>
            </w:pPr>
            <w:r>
              <w:rPr>
                <w:rFonts w:cs="Calibri"/>
                <w:color w:val="000000"/>
                <w:sz w:val="18"/>
                <w:szCs w:val="18"/>
              </w:rPr>
              <w:t>0.</w:t>
            </w:r>
            <w:r w:rsidR="00102704">
              <w:rPr>
                <w:rFonts w:cs="Calibri"/>
                <w:color w:val="000000"/>
                <w:sz w:val="18"/>
                <w:szCs w:val="18"/>
              </w:rPr>
              <w:t>0742</w:t>
            </w:r>
            <w:r w:rsidR="00CC6AB7">
              <w:rPr>
                <w:rFonts w:cs="Calibri"/>
                <w:color w:val="000000"/>
                <w:sz w:val="18"/>
                <w:szCs w:val="18"/>
              </w:rPr>
              <w:t>***</w:t>
            </w:r>
          </w:p>
        </w:tc>
        <w:tc>
          <w:tcPr>
            <w:tcW w:w="904" w:type="dxa"/>
            <w:tcBorders>
              <w:top w:val="nil"/>
              <w:left w:val="nil"/>
              <w:bottom w:val="nil"/>
              <w:right w:val="nil"/>
            </w:tcBorders>
            <w:vAlign w:val="bottom"/>
          </w:tcPr>
          <w:p w14:paraId="05D7B596" w14:textId="368D2842" w:rsidR="000D5945" w:rsidRPr="0043487C" w:rsidRDefault="000D5945">
            <w:pPr>
              <w:jc w:val="center"/>
              <w:rPr>
                <w:rFonts w:cs="Calibri"/>
                <w:color w:val="000000"/>
                <w:sz w:val="18"/>
                <w:szCs w:val="18"/>
              </w:rPr>
            </w:pPr>
            <w:r>
              <w:rPr>
                <w:rFonts w:cs="Calibri"/>
                <w:color w:val="000000"/>
                <w:sz w:val="18"/>
                <w:szCs w:val="18"/>
              </w:rPr>
              <w:t>0.0</w:t>
            </w:r>
            <w:r w:rsidR="00102704">
              <w:rPr>
                <w:rFonts w:cs="Calibri"/>
                <w:color w:val="000000"/>
                <w:sz w:val="18"/>
                <w:szCs w:val="18"/>
              </w:rPr>
              <w:t>753</w:t>
            </w:r>
          </w:p>
        </w:tc>
        <w:tc>
          <w:tcPr>
            <w:tcW w:w="886" w:type="dxa"/>
            <w:tcBorders>
              <w:top w:val="nil"/>
              <w:left w:val="nil"/>
              <w:bottom w:val="nil"/>
            </w:tcBorders>
            <w:vAlign w:val="bottom"/>
          </w:tcPr>
          <w:p w14:paraId="3F5DF3B0" w14:textId="3719C1D3" w:rsidR="000D5945" w:rsidRPr="0043487C" w:rsidRDefault="000D5945">
            <w:pPr>
              <w:jc w:val="center"/>
              <w:rPr>
                <w:rFonts w:cs="Calibri"/>
                <w:color w:val="000000"/>
                <w:sz w:val="18"/>
                <w:szCs w:val="18"/>
              </w:rPr>
            </w:pPr>
            <w:r>
              <w:rPr>
                <w:rFonts w:cs="Calibri"/>
                <w:color w:val="000000"/>
                <w:sz w:val="18"/>
                <w:szCs w:val="18"/>
              </w:rPr>
              <w:t>0.0</w:t>
            </w:r>
            <w:r w:rsidR="00102704">
              <w:rPr>
                <w:rFonts w:cs="Calibri"/>
                <w:color w:val="000000"/>
                <w:sz w:val="18"/>
                <w:szCs w:val="18"/>
              </w:rPr>
              <w:t>104</w:t>
            </w:r>
          </w:p>
        </w:tc>
      </w:tr>
      <w:tr w:rsidR="000D5945" w14:paraId="6E9E95B8" w14:textId="77777777" w:rsidTr="00F154AD">
        <w:trPr>
          <w:jc w:val="center"/>
        </w:trPr>
        <w:tc>
          <w:tcPr>
            <w:tcW w:w="1252" w:type="dxa"/>
            <w:tcBorders>
              <w:top w:val="nil"/>
              <w:bottom w:val="nil"/>
            </w:tcBorders>
            <w:vAlign w:val="bottom"/>
          </w:tcPr>
          <w:p w14:paraId="365E54B5" w14:textId="77777777" w:rsidR="000D5945" w:rsidRPr="00DF4351" w:rsidRDefault="000D5945" w:rsidP="00F154AD">
            <w:pPr>
              <w:rPr>
                <w:rFonts w:cs="Calibri"/>
                <w:color w:val="000000"/>
                <w:sz w:val="18"/>
                <w:szCs w:val="18"/>
              </w:rPr>
            </w:pPr>
            <w:r>
              <w:rPr>
                <w:rFonts w:cs="Calibri"/>
                <w:color w:val="000000"/>
                <w:sz w:val="18"/>
                <w:szCs w:val="18"/>
              </w:rPr>
              <w:t>LSCC</w:t>
            </w:r>
          </w:p>
        </w:tc>
        <w:tc>
          <w:tcPr>
            <w:tcW w:w="1047" w:type="dxa"/>
            <w:tcBorders>
              <w:top w:val="nil"/>
              <w:bottom w:val="nil"/>
              <w:right w:val="nil"/>
            </w:tcBorders>
            <w:vAlign w:val="bottom"/>
          </w:tcPr>
          <w:p w14:paraId="5BE46337" w14:textId="638ED901" w:rsidR="000D5945" w:rsidRPr="0043487C" w:rsidRDefault="000D5945">
            <w:pPr>
              <w:jc w:val="center"/>
              <w:rPr>
                <w:rFonts w:cs="Calibri"/>
                <w:color w:val="000000"/>
                <w:sz w:val="18"/>
                <w:szCs w:val="18"/>
              </w:rPr>
            </w:pPr>
            <w:r>
              <w:rPr>
                <w:rFonts w:cs="Calibri"/>
                <w:color w:val="000000"/>
                <w:sz w:val="18"/>
                <w:szCs w:val="18"/>
              </w:rPr>
              <w:t>0.</w:t>
            </w:r>
            <w:r w:rsidR="00673040">
              <w:rPr>
                <w:rFonts w:cs="Calibri"/>
                <w:color w:val="000000"/>
                <w:sz w:val="18"/>
                <w:szCs w:val="18"/>
              </w:rPr>
              <w:t>5952</w:t>
            </w:r>
            <w:r w:rsidR="005E6B66">
              <w:rPr>
                <w:rFonts w:cs="Calibri"/>
                <w:color w:val="000000"/>
                <w:sz w:val="18"/>
                <w:szCs w:val="18"/>
              </w:rPr>
              <w:t>***</w:t>
            </w:r>
          </w:p>
        </w:tc>
        <w:tc>
          <w:tcPr>
            <w:tcW w:w="935" w:type="dxa"/>
            <w:tcBorders>
              <w:top w:val="nil"/>
              <w:left w:val="nil"/>
              <w:bottom w:val="nil"/>
              <w:right w:val="nil"/>
            </w:tcBorders>
            <w:vAlign w:val="bottom"/>
          </w:tcPr>
          <w:p w14:paraId="63BF2F69" w14:textId="61ED6125" w:rsidR="000D5945" w:rsidRPr="0043487C" w:rsidRDefault="000D5945">
            <w:pPr>
              <w:jc w:val="center"/>
              <w:rPr>
                <w:rFonts w:cs="Calibri"/>
                <w:color w:val="000000"/>
                <w:sz w:val="18"/>
                <w:szCs w:val="18"/>
              </w:rPr>
            </w:pPr>
            <w:r>
              <w:rPr>
                <w:rFonts w:cs="Calibri"/>
                <w:color w:val="000000"/>
                <w:sz w:val="18"/>
                <w:szCs w:val="18"/>
              </w:rPr>
              <w:t>0.</w:t>
            </w:r>
            <w:r w:rsidR="00673040">
              <w:rPr>
                <w:rFonts w:cs="Calibri"/>
                <w:color w:val="000000"/>
                <w:sz w:val="18"/>
                <w:szCs w:val="18"/>
              </w:rPr>
              <w:t>7143</w:t>
            </w:r>
          </w:p>
        </w:tc>
        <w:tc>
          <w:tcPr>
            <w:tcW w:w="913" w:type="dxa"/>
            <w:tcBorders>
              <w:top w:val="nil"/>
              <w:left w:val="nil"/>
              <w:bottom w:val="nil"/>
            </w:tcBorders>
            <w:vAlign w:val="bottom"/>
          </w:tcPr>
          <w:p w14:paraId="388AC7B4" w14:textId="7EB21056" w:rsidR="000D5945" w:rsidRPr="0043487C" w:rsidRDefault="00EF6DA3" w:rsidP="00F154AD">
            <w:pPr>
              <w:jc w:val="center"/>
              <w:rPr>
                <w:rFonts w:cs="Calibri"/>
                <w:color w:val="000000"/>
                <w:sz w:val="18"/>
                <w:szCs w:val="18"/>
              </w:rPr>
            </w:pPr>
            <w:r>
              <w:rPr>
                <w:rFonts w:cs="Calibri"/>
                <w:color w:val="000000"/>
                <w:sz w:val="18"/>
                <w:szCs w:val="18"/>
              </w:rPr>
              <w:t>0.2697</w:t>
            </w:r>
          </w:p>
        </w:tc>
        <w:tc>
          <w:tcPr>
            <w:tcW w:w="1174" w:type="dxa"/>
            <w:tcBorders>
              <w:top w:val="nil"/>
              <w:bottom w:val="nil"/>
              <w:right w:val="nil"/>
            </w:tcBorders>
            <w:vAlign w:val="bottom"/>
          </w:tcPr>
          <w:p w14:paraId="3F1C2832" w14:textId="687A5C6F" w:rsidR="000D5945" w:rsidRPr="0043487C" w:rsidRDefault="000D5945">
            <w:pPr>
              <w:jc w:val="center"/>
              <w:rPr>
                <w:rFonts w:cs="Calibri"/>
                <w:color w:val="000000"/>
                <w:sz w:val="18"/>
                <w:szCs w:val="18"/>
              </w:rPr>
            </w:pPr>
            <w:r>
              <w:rPr>
                <w:rFonts w:cs="Calibri"/>
                <w:color w:val="000000"/>
                <w:sz w:val="18"/>
                <w:szCs w:val="18"/>
              </w:rPr>
              <w:t>0.35</w:t>
            </w:r>
            <w:r w:rsidR="00102704">
              <w:rPr>
                <w:rFonts w:cs="Calibri"/>
                <w:color w:val="000000"/>
                <w:sz w:val="18"/>
                <w:szCs w:val="18"/>
              </w:rPr>
              <w:t>24</w:t>
            </w:r>
            <w:r w:rsidR="00CC6AB7">
              <w:rPr>
                <w:rFonts w:cs="Calibri"/>
                <w:color w:val="000000"/>
                <w:sz w:val="18"/>
                <w:szCs w:val="18"/>
              </w:rPr>
              <w:t>***</w:t>
            </w:r>
          </w:p>
        </w:tc>
        <w:tc>
          <w:tcPr>
            <w:tcW w:w="904" w:type="dxa"/>
            <w:tcBorders>
              <w:top w:val="nil"/>
              <w:left w:val="nil"/>
              <w:bottom w:val="nil"/>
              <w:right w:val="nil"/>
            </w:tcBorders>
            <w:vAlign w:val="bottom"/>
          </w:tcPr>
          <w:p w14:paraId="363EDDE8" w14:textId="646C0063" w:rsidR="000D5945" w:rsidRPr="0043487C" w:rsidRDefault="000D5945">
            <w:pPr>
              <w:jc w:val="center"/>
              <w:rPr>
                <w:rFonts w:cs="Calibri"/>
                <w:color w:val="000000"/>
                <w:sz w:val="18"/>
                <w:szCs w:val="18"/>
              </w:rPr>
            </w:pPr>
            <w:r>
              <w:rPr>
                <w:rFonts w:cs="Calibri"/>
                <w:color w:val="000000"/>
                <w:sz w:val="18"/>
                <w:szCs w:val="18"/>
              </w:rPr>
              <w:t>0.3</w:t>
            </w:r>
            <w:r w:rsidR="00102704">
              <w:rPr>
                <w:rFonts w:cs="Calibri"/>
                <w:color w:val="000000"/>
                <w:sz w:val="18"/>
                <w:szCs w:val="18"/>
              </w:rPr>
              <w:t>290</w:t>
            </w:r>
          </w:p>
        </w:tc>
        <w:tc>
          <w:tcPr>
            <w:tcW w:w="886" w:type="dxa"/>
            <w:tcBorders>
              <w:top w:val="nil"/>
              <w:left w:val="nil"/>
              <w:bottom w:val="nil"/>
            </w:tcBorders>
            <w:vAlign w:val="bottom"/>
          </w:tcPr>
          <w:p w14:paraId="24D3DBA9" w14:textId="335C81F9" w:rsidR="000D5945" w:rsidRPr="0043487C" w:rsidRDefault="007B45B1" w:rsidP="00F154AD">
            <w:pPr>
              <w:jc w:val="center"/>
              <w:rPr>
                <w:rFonts w:cs="Calibri"/>
                <w:color w:val="000000"/>
                <w:sz w:val="18"/>
                <w:szCs w:val="18"/>
              </w:rPr>
            </w:pPr>
            <w:r>
              <w:rPr>
                <w:rFonts w:cs="Calibri"/>
                <w:color w:val="000000"/>
                <w:sz w:val="18"/>
                <w:szCs w:val="18"/>
              </w:rPr>
              <w:t>0.0624</w:t>
            </w:r>
          </w:p>
        </w:tc>
      </w:tr>
      <w:tr w:rsidR="000D5945" w14:paraId="3908623A" w14:textId="77777777" w:rsidTr="00F154AD">
        <w:trPr>
          <w:jc w:val="center"/>
        </w:trPr>
        <w:tc>
          <w:tcPr>
            <w:tcW w:w="1252" w:type="dxa"/>
            <w:tcBorders>
              <w:top w:val="nil"/>
            </w:tcBorders>
            <w:vAlign w:val="bottom"/>
          </w:tcPr>
          <w:p w14:paraId="54E29DF1" w14:textId="77777777" w:rsidR="000D5945" w:rsidRPr="00DF4351" w:rsidRDefault="000D5945" w:rsidP="00F154AD">
            <w:pPr>
              <w:rPr>
                <w:rFonts w:cs="Calibri"/>
                <w:color w:val="000000"/>
                <w:sz w:val="18"/>
                <w:szCs w:val="18"/>
              </w:rPr>
            </w:pPr>
          </w:p>
        </w:tc>
        <w:tc>
          <w:tcPr>
            <w:tcW w:w="1047" w:type="dxa"/>
            <w:tcBorders>
              <w:top w:val="nil"/>
              <w:right w:val="nil"/>
            </w:tcBorders>
            <w:vAlign w:val="bottom"/>
          </w:tcPr>
          <w:p w14:paraId="14D2082F" w14:textId="77777777" w:rsidR="000D5945" w:rsidRPr="0043487C" w:rsidRDefault="000D5945" w:rsidP="00F154AD">
            <w:pPr>
              <w:jc w:val="center"/>
              <w:rPr>
                <w:rFonts w:cs="Calibri"/>
                <w:color w:val="000000"/>
                <w:sz w:val="18"/>
                <w:szCs w:val="18"/>
              </w:rPr>
            </w:pPr>
          </w:p>
        </w:tc>
        <w:tc>
          <w:tcPr>
            <w:tcW w:w="935" w:type="dxa"/>
            <w:tcBorders>
              <w:top w:val="nil"/>
              <w:left w:val="nil"/>
              <w:right w:val="nil"/>
            </w:tcBorders>
            <w:vAlign w:val="bottom"/>
          </w:tcPr>
          <w:p w14:paraId="5890C08D" w14:textId="77777777" w:rsidR="000D5945" w:rsidRPr="0043487C" w:rsidRDefault="000D5945" w:rsidP="00F154AD">
            <w:pPr>
              <w:jc w:val="center"/>
              <w:rPr>
                <w:rFonts w:cs="Calibri"/>
                <w:color w:val="000000"/>
                <w:sz w:val="18"/>
                <w:szCs w:val="18"/>
              </w:rPr>
            </w:pPr>
          </w:p>
        </w:tc>
        <w:tc>
          <w:tcPr>
            <w:tcW w:w="913" w:type="dxa"/>
            <w:tcBorders>
              <w:top w:val="nil"/>
              <w:left w:val="nil"/>
            </w:tcBorders>
            <w:vAlign w:val="bottom"/>
          </w:tcPr>
          <w:p w14:paraId="4437B405" w14:textId="77777777" w:rsidR="000D5945" w:rsidRPr="0043487C" w:rsidRDefault="000D5945" w:rsidP="00F154AD">
            <w:pPr>
              <w:jc w:val="center"/>
              <w:rPr>
                <w:rFonts w:cs="Calibri"/>
                <w:color w:val="000000"/>
                <w:sz w:val="18"/>
                <w:szCs w:val="18"/>
              </w:rPr>
            </w:pPr>
          </w:p>
        </w:tc>
        <w:tc>
          <w:tcPr>
            <w:tcW w:w="1174" w:type="dxa"/>
            <w:tcBorders>
              <w:top w:val="nil"/>
              <w:right w:val="nil"/>
            </w:tcBorders>
            <w:vAlign w:val="bottom"/>
          </w:tcPr>
          <w:p w14:paraId="2801F2A5" w14:textId="77777777" w:rsidR="000D5945" w:rsidRPr="0043487C" w:rsidRDefault="000D5945" w:rsidP="00F154AD">
            <w:pPr>
              <w:jc w:val="center"/>
              <w:rPr>
                <w:rFonts w:cs="Calibri"/>
                <w:color w:val="000000"/>
                <w:sz w:val="18"/>
                <w:szCs w:val="18"/>
              </w:rPr>
            </w:pPr>
          </w:p>
        </w:tc>
        <w:tc>
          <w:tcPr>
            <w:tcW w:w="904" w:type="dxa"/>
            <w:tcBorders>
              <w:top w:val="nil"/>
              <w:left w:val="nil"/>
              <w:right w:val="nil"/>
            </w:tcBorders>
            <w:vAlign w:val="bottom"/>
          </w:tcPr>
          <w:p w14:paraId="6DC65AB6" w14:textId="77777777" w:rsidR="000D5945" w:rsidRPr="0043487C" w:rsidRDefault="000D5945" w:rsidP="00F154AD">
            <w:pPr>
              <w:jc w:val="center"/>
              <w:rPr>
                <w:rFonts w:cs="Calibri"/>
                <w:color w:val="000000"/>
                <w:sz w:val="18"/>
                <w:szCs w:val="18"/>
              </w:rPr>
            </w:pPr>
          </w:p>
        </w:tc>
        <w:tc>
          <w:tcPr>
            <w:tcW w:w="886" w:type="dxa"/>
            <w:tcBorders>
              <w:top w:val="nil"/>
              <w:left w:val="nil"/>
            </w:tcBorders>
            <w:vAlign w:val="bottom"/>
          </w:tcPr>
          <w:p w14:paraId="6D92EFDA" w14:textId="77777777" w:rsidR="000D5945" w:rsidRPr="0043487C" w:rsidRDefault="000D5945" w:rsidP="00F154AD">
            <w:pPr>
              <w:jc w:val="center"/>
              <w:rPr>
                <w:rFonts w:cs="Calibri"/>
                <w:color w:val="000000"/>
                <w:sz w:val="18"/>
                <w:szCs w:val="18"/>
              </w:rPr>
            </w:pPr>
          </w:p>
        </w:tc>
      </w:tr>
      <w:tr w:rsidR="000D5945" w14:paraId="6BB5AAB5" w14:textId="77777777" w:rsidTr="00F154AD">
        <w:trPr>
          <w:jc w:val="center"/>
        </w:trPr>
        <w:tc>
          <w:tcPr>
            <w:tcW w:w="7111" w:type="dxa"/>
            <w:gridSpan w:val="7"/>
            <w:vAlign w:val="bottom"/>
          </w:tcPr>
          <w:p w14:paraId="11AD116E" w14:textId="77777777" w:rsidR="000D5945" w:rsidRDefault="000D5945" w:rsidP="00F154AD">
            <w:pPr>
              <w:rPr>
                <w:sz w:val="18"/>
                <w:szCs w:val="18"/>
              </w:rPr>
            </w:pPr>
          </w:p>
          <w:p w14:paraId="378271F1" w14:textId="389D9F08" w:rsidR="000D5945" w:rsidRDefault="000D5945" w:rsidP="00416C4F">
            <w:pPr>
              <w:jc w:val="both"/>
              <w:rPr>
                <w:sz w:val="18"/>
                <w:szCs w:val="18"/>
              </w:rPr>
            </w:pPr>
            <w:r>
              <w:rPr>
                <w:sz w:val="18"/>
                <w:szCs w:val="18"/>
              </w:rPr>
              <w:t xml:space="preserve">CC indicates the clustering coefficient. </w:t>
            </w:r>
            <w:r w:rsidR="00416C4F">
              <w:rPr>
                <w:sz w:val="18"/>
                <w:szCs w:val="18"/>
              </w:rPr>
              <w:t>C</w:t>
            </w:r>
            <w:r w:rsidR="00416C4F" w:rsidRPr="00416C4F">
              <w:rPr>
                <w:sz w:val="18"/>
                <w:szCs w:val="18"/>
              </w:rPr>
              <w:t xml:space="preserve">loseness measures </w:t>
            </w:r>
            <w:r w:rsidR="00416C4F">
              <w:rPr>
                <w:sz w:val="18"/>
                <w:szCs w:val="18"/>
              </w:rPr>
              <w:t xml:space="preserve">the average distance, in terms of edges, </w:t>
            </w:r>
            <w:r w:rsidR="00416C4F" w:rsidRPr="00416C4F">
              <w:rPr>
                <w:sz w:val="18"/>
                <w:szCs w:val="18"/>
              </w:rPr>
              <w:t xml:space="preserve">between banks </w:t>
            </w:r>
            <w:r w:rsidR="00416C4F">
              <w:rPr>
                <w:sz w:val="18"/>
                <w:szCs w:val="18"/>
              </w:rPr>
              <w:t xml:space="preserve">in the network. </w:t>
            </w:r>
            <w:r w:rsidRPr="00E24A54">
              <w:rPr>
                <w:sz w:val="18"/>
                <w:szCs w:val="18"/>
              </w:rPr>
              <w:t>Degree refers to the average degree in each network.</w:t>
            </w:r>
            <w:r>
              <w:rPr>
                <w:sz w:val="18"/>
                <w:szCs w:val="18"/>
              </w:rPr>
              <w:t xml:space="preserve"> LSCC refers to the proportion of nodes in the largest strongly connected component. </w:t>
            </w:r>
          </w:p>
          <w:p w14:paraId="225A013F" w14:textId="77777777" w:rsidR="000D5945" w:rsidRDefault="000D5945" w:rsidP="00F154AD">
            <w:pPr>
              <w:rPr>
                <w:sz w:val="18"/>
                <w:szCs w:val="18"/>
              </w:rPr>
            </w:pPr>
          </w:p>
          <w:p w14:paraId="71EE876E" w14:textId="77777777" w:rsidR="000D5945" w:rsidRDefault="000D5945" w:rsidP="00416C4F">
            <w:pPr>
              <w:jc w:val="both"/>
              <w:rPr>
                <w:sz w:val="18"/>
                <w:szCs w:val="18"/>
              </w:rPr>
            </w:pPr>
            <w:r>
              <w:rPr>
                <w:sz w:val="18"/>
                <w:szCs w:val="18"/>
              </w:rPr>
              <w:t>*, ** and *** refer to significance levels of 10%, 5% and 1% for testing the mean difference between each sub-period and the pre-crisis period which we use as benchmark. Standard errors are computed using bootstrapping.</w:t>
            </w:r>
          </w:p>
          <w:p w14:paraId="66CE73FB" w14:textId="77777777" w:rsidR="000D5945" w:rsidRDefault="000D5945" w:rsidP="00F154AD">
            <w:pPr>
              <w:rPr>
                <w:sz w:val="18"/>
                <w:szCs w:val="18"/>
              </w:rPr>
            </w:pPr>
          </w:p>
          <w:p w14:paraId="1944491D" w14:textId="77777777" w:rsidR="000D5945" w:rsidRPr="00E24A54" w:rsidRDefault="000D5945" w:rsidP="00F154AD">
            <w:pPr>
              <w:rPr>
                <w:sz w:val="18"/>
                <w:szCs w:val="18"/>
              </w:rPr>
            </w:pPr>
          </w:p>
        </w:tc>
      </w:tr>
    </w:tbl>
    <w:p w14:paraId="23BDA770" w14:textId="77777777" w:rsidR="006711E1" w:rsidRDefault="006711E1" w:rsidP="006711E1"/>
    <w:p w14:paraId="1029A716" w14:textId="46162CAE" w:rsidR="0049479B" w:rsidRDefault="0049479B">
      <w:r>
        <w:br w:type="page"/>
      </w:r>
    </w:p>
    <w:p w14:paraId="2EFE2492" w14:textId="6F103145" w:rsidR="00C91E46" w:rsidRDefault="00C91E46">
      <w:r>
        <w:lastRenderedPageBreak/>
        <w:t>Table 4</w:t>
      </w:r>
    </w:p>
    <w:p w14:paraId="5B3F1548" w14:textId="1EF6B0C0" w:rsidR="00C91E46" w:rsidRDefault="00CD33B5">
      <w:r>
        <w:t>Policy Implications</w:t>
      </w:r>
    </w:p>
    <w:p w14:paraId="124B9B31" w14:textId="77777777" w:rsidR="00C91E46" w:rsidRDefault="00C91E46"/>
    <w:tbl>
      <w:tblPr>
        <w:tblStyle w:val="TableGrid"/>
        <w:tblW w:w="10255" w:type="dxa"/>
        <w:tblLayout w:type="fixed"/>
        <w:tblLook w:val="04A0" w:firstRow="1" w:lastRow="0" w:firstColumn="1" w:lastColumn="0" w:noHBand="0" w:noVBand="1"/>
      </w:tblPr>
      <w:tblGrid>
        <w:gridCol w:w="2335"/>
        <w:gridCol w:w="1350"/>
        <w:gridCol w:w="1185"/>
        <w:gridCol w:w="1263"/>
        <w:gridCol w:w="1382"/>
        <w:gridCol w:w="1384"/>
        <w:gridCol w:w="1356"/>
      </w:tblGrid>
      <w:tr w:rsidR="00BB5F5A" w:rsidRPr="00DB7CC7" w14:paraId="46ED51F3" w14:textId="77777777" w:rsidTr="00E96997">
        <w:tc>
          <w:tcPr>
            <w:tcW w:w="2335" w:type="dxa"/>
            <w:tcBorders>
              <w:top w:val="single" w:sz="4" w:space="0" w:color="auto"/>
              <w:bottom w:val="nil"/>
            </w:tcBorders>
          </w:tcPr>
          <w:p w14:paraId="0F79B6C9" w14:textId="77777777" w:rsidR="00BB5F5A" w:rsidRPr="00DB7CC7" w:rsidRDefault="00BB5F5A">
            <w:pPr>
              <w:rPr>
                <w:sz w:val="20"/>
                <w:szCs w:val="20"/>
              </w:rPr>
            </w:pPr>
          </w:p>
        </w:tc>
        <w:tc>
          <w:tcPr>
            <w:tcW w:w="3798" w:type="dxa"/>
            <w:gridSpan w:val="3"/>
            <w:tcBorders>
              <w:bottom w:val="nil"/>
            </w:tcBorders>
          </w:tcPr>
          <w:p w14:paraId="4F953433" w14:textId="2AE1991E" w:rsidR="00BB5F5A" w:rsidRPr="00DB7CC7" w:rsidRDefault="00BB5F5A" w:rsidP="0093362A">
            <w:pPr>
              <w:jc w:val="center"/>
              <w:rPr>
                <w:sz w:val="20"/>
                <w:szCs w:val="20"/>
              </w:rPr>
            </w:pPr>
            <w:r w:rsidRPr="00DB7CC7">
              <w:rPr>
                <w:sz w:val="20"/>
                <w:szCs w:val="20"/>
              </w:rPr>
              <w:t>R</w:t>
            </w:r>
            <w:r w:rsidRPr="00DB7CC7">
              <w:rPr>
                <w:sz w:val="20"/>
                <w:szCs w:val="20"/>
                <w:vertAlign w:val="superscript"/>
              </w:rPr>
              <w:t>2</w:t>
            </w:r>
          </w:p>
        </w:tc>
        <w:tc>
          <w:tcPr>
            <w:tcW w:w="4122" w:type="dxa"/>
            <w:gridSpan w:val="3"/>
            <w:tcBorders>
              <w:bottom w:val="nil"/>
            </w:tcBorders>
          </w:tcPr>
          <w:p w14:paraId="0D31B4AF" w14:textId="3CCE40B5" w:rsidR="00BB5F5A" w:rsidRPr="00DB7CC7" w:rsidRDefault="00BB5F5A" w:rsidP="0093362A">
            <w:pPr>
              <w:jc w:val="center"/>
              <w:rPr>
                <w:sz w:val="20"/>
                <w:szCs w:val="20"/>
              </w:rPr>
            </w:pPr>
            <w:r w:rsidRPr="00DB7CC7">
              <w:rPr>
                <w:sz w:val="20"/>
                <w:szCs w:val="20"/>
              </w:rPr>
              <w:t>RMSE</w:t>
            </w:r>
          </w:p>
        </w:tc>
      </w:tr>
      <w:tr w:rsidR="00BB5F5A" w:rsidRPr="00DB7CC7" w14:paraId="2794845F" w14:textId="77777777" w:rsidTr="00E96997">
        <w:tc>
          <w:tcPr>
            <w:tcW w:w="2335" w:type="dxa"/>
            <w:tcBorders>
              <w:top w:val="nil"/>
              <w:bottom w:val="nil"/>
            </w:tcBorders>
          </w:tcPr>
          <w:p w14:paraId="196DAFD8" w14:textId="77777777" w:rsidR="00BB5F5A" w:rsidRPr="00DB7CC7" w:rsidRDefault="00BB5F5A" w:rsidP="00BB5F5A">
            <w:pPr>
              <w:rPr>
                <w:sz w:val="20"/>
                <w:szCs w:val="20"/>
              </w:rPr>
            </w:pPr>
          </w:p>
        </w:tc>
        <w:tc>
          <w:tcPr>
            <w:tcW w:w="1350" w:type="dxa"/>
            <w:tcBorders>
              <w:top w:val="nil"/>
              <w:bottom w:val="nil"/>
              <w:right w:val="nil"/>
            </w:tcBorders>
          </w:tcPr>
          <w:p w14:paraId="1FFFBFC5" w14:textId="32954AE4" w:rsidR="00BB5F5A" w:rsidRPr="00DB7CC7" w:rsidRDefault="00BB5F5A" w:rsidP="00BB5F5A">
            <w:pPr>
              <w:jc w:val="center"/>
              <w:rPr>
                <w:sz w:val="20"/>
                <w:szCs w:val="20"/>
              </w:rPr>
            </w:pPr>
            <w:r w:rsidRPr="00DB7CC7">
              <w:rPr>
                <w:sz w:val="20"/>
                <w:szCs w:val="20"/>
              </w:rPr>
              <w:t>Correlation</w:t>
            </w:r>
          </w:p>
        </w:tc>
        <w:tc>
          <w:tcPr>
            <w:tcW w:w="1185" w:type="dxa"/>
            <w:tcBorders>
              <w:top w:val="nil"/>
              <w:left w:val="nil"/>
              <w:bottom w:val="nil"/>
              <w:right w:val="nil"/>
            </w:tcBorders>
          </w:tcPr>
          <w:p w14:paraId="316CBB4A" w14:textId="2A6A28BA" w:rsidR="00BB5F5A" w:rsidRPr="00DB7CC7" w:rsidRDefault="00BB5F5A" w:rsidP="00BB5F5A">
            <w:pPr>
              <w:jc w:val="center"/>
              <w:rPr>
                <w:sz w:val="20"/>
                <w:szCs w:val="20"/>
              </w:rPr>
            </w:pPr>
            <w:r w:rsidRPr="00DB7CC7">
              <w:rPr>
                <w:sz w:val="20"/>
                <w:szCs w:val="20"/>
              </w:rPr>
              <w:t>Physical</w:t>
            </w:r>
          </w:p>
        </w:tc>
        <w:tc>
          <w:tcPr>
            <w:tcW w:w="1263" w:type="dxa"/>
            <w:tcBorders>
              <w:top w:val="nil"/>
              <w:left w:val="nil"/>
              <w:bottom w:val="nil"/>
              <w:right w:val="single" w:sz="4" w:space="0" w:color="auto"/>
            </w:tcBorders>
          </w:tcPr>
          <w:p w14:paraId="23E78CF9" w14:textId="755D1B35" w:rsidR="00BB5F5A" w:rsidRPr="00DB7CC7" w:rsidRDefault="00BB5F5A" w:rsidP="00BB5F5A">
            <w:pPr>
              <w:jc w:val="center"/>
              <w:rPr>
                <w:sz w:val="20"/>
                <w:szCs w:val="20"/>
              </w:rPr>
            </w:pPr>
            <w:r w:rsidRPr="00DB7CC7">
              <w:rPr>
                <w:sz w:val="20"/>
                <w:szCs w:val="20"/>
              </w:rPr>
              <w:t>Difference</w:t>
            </w:r>
          </w:p>
        </w:tc>
        <w:tc>
          <w:tcPr>
            <w:tcW w:w="1382" w:type="dxa"/>
            <w:tcBorders>
              <w:top w:val="nil"/>
              <w:left w:val="single" w:sz="4" w:space="0" w:color="auto"/>
              <w:bottom w:val="nil"/>
              <w:right w:val="nil"/>
            </w:tcBorders>
          </w:tcPr>
          <w:p w14:paraId="0517E93A" w14:textId="12AD7650" w:rsidR="00BB5F5A" w:rsidRPr="00DB7CC7" w:rsidRDefault="00BB5F5A" w:rsidP="00BB5F5A">
            <w:pPr>
              <w:jc w:val="center"/>
              <w:rPr>
                <w:sz w:val="20"/>
                <w:szCs w:val="20"/>
              </w:rPr>
            </w:pPr>
            <w:r w:rsidRPr="00DB7CC7">
              <w:rPr>
                <w:sz w:val="20"/>
                <w:szCs w:val="20"/>
              </w:rPr>
              <w:t>Correlation</w:t>
            </w:r>
          </w:p>
        </w:tc>
        <w:tc>
          <w:tcPr>
            <w:tcW w:w="1384" w:type="dxa"/>
            <w:tcBorders>
              <w:top w:val="nil"/>
              <w:left w:val="nil"/>
              <w:bottom w:val="nil"/>
              <w:right w:val="nil"/>
            </w:tcBorders>
          </w:tcPr>
          <w:p w14:paraId="3359CDBD" w14:textId="23A08C5E" w:rsidR="00BB5F5A" w:rsidRPr="00DB7CC7" w:rsidRDefault="00BB5F5A" w:rsidP="00BB5F5A">
            <w:pPr>
              <w:jc w:val="center"/>
              <w:rPr>
                <w:sz w:val="20"/>
                <w:szCs w:val="20"/>
              </w:rPr>
            </w:pPr>
            <w:r w:rsidRPr="00DB7CC7">
              <w:rPr>
                <w:sz w:val="20"/>
                <w:szCs w:val="20"/>
              </w:rPr>
              <w:t>Physical</w:t>
            </w:r>
          </w:p>
        </w:tc>
        <w:tc>
          <w:tcPr>
            <w:tcW w:w="1356" w:type="dxa"/>
            <w:tcBorders>
              <w:top w:val="nil"/>
              <w:left w:val="nil"/>
              <w:bottom w:val="nil"/>
            </w:tcBorders>
          </w:tcPr>
          <w:p w14:paraId="1736ACEB" w14:textId="13F6AC5C" w:rsidR="00BB5F5A" w:rsidRPr="00DB7CC7" w:rsidRDefault="00BB5F5A" w:rsidP="00BB5F5A">
            <w:pPr>
              <w:jc w:val="center"/>
              <w:rPr>
                <w:sz w:val="20"/>
                <w:szCs w:val="20"/>
              </w:rPr>
            </w:pPr>
            <w:r w:rsidRPr="00DB7CC7">
              <w:rPr>
                <w:sz w:val="20"/>
                <w:szCs w:val="20"/>
              </w:rPr>
              <w:t>Difference</w:t>
            </w:r>
          </w:p>
        </w:tc>
      </w:tr>
      <w:tr w:rsidR="00BB5F5A" w:rsidRPr="00DB7CC7" w14:paraId="658E204B" w14:textId="77777777" w:rsidTr="00E96997">
        <w:tc>
          <w:tcPr>
            <w:tcW w:w="2335" w:type="dxa"/>
            <w:tcBorders>
              <w:top w:val="nil"/>
              <w:bottom w:val="nil"/>
            </w:tcBorders>
          </w:tcPr>
          <w:p w14:paraId="07A6F18E" w14:textId="5DDD1BE1" w:rsidR="00BB5F5A" w:rsidRPr="00DB7CC7" w:rsidRDefault="00BB5F5A" w:rsidP="00BB5F5A">
            <w:pPr>
              <w:rPr>
                <w:sz w:val="20"/>
                <w:szCs w:val="20"/>
              </w:rPr>
            </w:pPr>
            <w:r w:rsidRPr="00DB7CC7">
              <w:rPr>
                <w:sz w:val="20"/>
                <w:szCs w:val="20"/>
              </w:rPr>
              <w:t>Δ(IP)</w:t>
            </w:r>
          </w:p>
        </w:tc>
        <w:tc>
          <w:tcPr>
            <w:tcW w:w="1350" w:type="dxa"/>
            <w:tcBorders>
              <w:top w:val="nil"/>
              <w:bottom w:val="nil"/>
              <w:right w:val="nil"/>
            </w:tcBorders>
            <w:vAlign w:val="bottom"/>
          </w:tcPr>
          <w:p w14:paraId="2A8D7B2D" w14:textId="70E94D0D" w:rsidR="00BB5F5A" w:rsidRPr="00DB7CC7" w:rsidRDefault="00BB5F5A" w:rsidP="00BB5F5A">
            <w:pPr>
              <w:jc w:val="center"/>
              <w:rPr>
                <w:sz w:val="20"/>
                <w:szCs w:val="20"/>
              </w:rPr>
            </w:pPr>
            <w:r w:rsidRPr="00DB7CC7">
              <w:rPr>
                <w:rFonts w:cs="Calibri"/>
                <w:color w:val="000000"/>
                <w:sz w:val="20"/>
                <w:szCs w:val="20"/>
              </w:rPr>
              <w:t>0.226</w:t>
            </w:r>
          </w:p>
        </w:tc>
        <w:tc>
          <w:tcPr>
            <w:tcW w:w="1185" w:type="dxa"/>
            <w:tcBorders>
              <w:top w:val="nil"/>
              <w:left w:val="nil"/>
              <w:bottom w:val="nil"/>
              <w:right w:val="nil"/>
            </w:tcBorders>
            <w:vAlign w:val="bottom"/>
          </w:tcPr>
          <w:p w14:paraId="10BB35BB" w14:textId="413DD11A" w:rsidR="00BB5F5A" w:rsidRPr="00DB7CC7" w:rsidRDefault="00BB5F5A" w:rsidP="00BB5F5A">
            <w:pPr>
              <w:jc w:val="center"/>
              <w:rPr>
                <w:sz w:val="20"/>
                <w:szCs w:val="20"/>
              </w:rPr>
            </w:pPr>
            <w:r w:rsidRPr="00DB7CC7">
              <w:rPr>
                <w:rFonts w:cs="Calibri"/>
                <w:color w:val="000000"/>
                <w:sz w:val="20"/>
                <w:szCs w:val="20"/>
              </w:rPr>
              <w:t>0.254</w:t>
            </w:r>
          </w:p>
        </w:tc>
        <w:tc>
          <w:tcPr>
            <w:tcW w:w="1263" w:type="dxa"/>
            <w:tcBorders>
              <w:top w:val="nil"/>
              <w:left w:val="nil"/>
              <w:bottom w:val="nil"/>
              <w:right w:val="single" w:sz="4" w:space="0" w:color="auto"/>
            </w:tcBorders>
          </w:tcPr>
          <w:p w14:paraId="1E531CF9" w14:textId="3657531D" w:rsidR="00BB5F5A" w:rsidRPr="00DB7CC7" w:rsidRDefault="00372816" w:rsidP="00BB5F5A">
            <w:pPr>
              <w:jc w:val="center"/>
              <w:rPr>
                <w:rFonts w:cs="Calibri"/>
                <w:color w:val="000000"/>
                <w:sz w:val="20"/>
                <w:szCs w:val="20"/>
              </w:rPr>
            </w:pPr>
            <w:r w:rsidRPr="00DB7CC7">
              <w:rPr>
                <w:rFonts w:cs="Calibri"/>
                <w:color w:val="000000"/>
                <w:sz w:val="20"/>
                <w:szCs w:val="20"/>
              </w:rPr>
              <w:t>-0.028</w:t>
            </w:r>
          </w:p>
        </w:tc>
        <w:tc>
          <w:tcPr>
            <w:tcW w:w="1382" w:type="dxa"/>
            <w:tcBorders>
              <w:top w:val="nil"/>
              <w:left w:val="single" w:sz="4" w:space="0" w:color="auto"/>
              <w:bottom w:val="nil"/>
              <w:right w:val="nil"/>
            </w:tcBorders>
            <w:vAlign w:val="bottom"/>
          </w:tcPr>
          <w:p w14:paraId="758B2C69" w14:textId="6135B98E" w:rsidR="00BB5F5A" w:rsidRPr="00DB7CC7" w:rsidRDefault="00BB5F5A" w:rsidP="00BB5F5A">
            <w:pPr>
              <w:jc w:val="center"/>
              <w:rPr>
                <w:rFonts w:cs="Calibri"/>
                <w:color w:val="000000"/>
                <w:sz w:val="20"/>
                <w:szCs w:val="20"/>
              </w:rPr>
            </w:pPr>
            <w:r w:rsidRPr="00DB7CC7">
              <w:rPr>
                <w:rFonts w:cs="Calibri"/>
                <w:color w:val="000000"/>
                <w:sz w:val="20"/>
                <w:szCs w:val="20"/>
              </w:rPr>
              <w:t>2.620</w:t>
            </w:r>
          </w:p>
        </w:tc>
        <w:tc>
          <w:tcPr>
            <w:tcW w:w="1384" w:type="dxa"/>
            <w:tcBorders>
              <w:top w:val="nil"/>
              <w:left w:val="nil"/>
              <w:bottom w:val="nil"/>
              <w:right w:val="nil"/>
            </w:tcBorders>
            <w:vAlign w:val="bottom"/>
          </w:tcPr>
          <w:p w14:paraId="79090C3D" w14:textId="651C5A65" w:rsidR="00BB5F5A" w:rsidRPr="00DB7CC7" w:rsidRDefault="00BB5F5A" w:rsidP="00BB5F5A">
            <w:pPr>
              <w:jc w:val="center"/>
              <w:rPr>
                <w:sz w:val="20"/>
                <w:szCs w:val="20"/>
              </w:rPr>
            </w:pPr>
            <w:r w:rsidRPr="00DB7CC7">
              <w:rPr>
                <w:rFonts w:cs="Calibri"/>
                <w:color w:val="000000"/>
                <w:sz w:val="20"/>
                <w:szCs w:val="20"/>
              </w:rPr>
              <w:t>2.179</w:t>
            </w:r>
          </w:p>
        </w:tc>
        <w:tc>
          <w:tcPr>
            <w:tcW w:w="1356" w:type="dxa"/>
            <w:tcBorders>
              <w:top w:val="nil"/>
              <w:left w:val="nil"/>
              <w:bottom w:val="nil"/>
            </w:tcBorders>
            <w:vAlign w:val="bottom"/>
          </w:tcPr>
          <w:p w14:paraId="6B278109" w14:textId="2F6B5C1E" w:rsidR="00BB5F5A" w:rsidRPr="00DB7CC7" w:rsidRDefault="00372816" w:rsidP="00372816">
            <w:pPr>
              <w:jc w:val="center"/>
              <w:rPr>
                <w:sz w:val="20"/>
                <w:szCs w:val="20"/>
              </w:rPr>
            </w:pPr>
            <w:r w:rsidRPr="00DB7CC7">
              <w:rPr>
                <w:sz w:val="20"/>
                <w:szCs w:val="20"/>
              </w:rPr>
              <w:t>0.441</w:t>
            </w:r>
          </w:p>
        </w:tc>
      </w:tr>
      <w:tr w:rsidR="00BB5F5A" w:rsidRPr="00DB7CC7" w14:paraId="543DBF53" w14:textId="77777777" w:rsidTr="00E96997">
        <w:tc>
          <w:tcPr>
            <w:tcW w:w="2335" w:type="dxa"/>
            <w:tcBorders>
              <w:top w:val="nil"/>
              <w:bottom w:val="nil"/>
            </w:tcBorders>
          </w:tcPr>
          <w:p w14:paraId="1879B7FD" w14:textId="6381E963" w:rsidR="00BB5F5A" w:rsidRPr="00DB7CC7" w:rsidRDefault="00BB5F5A" w:rsidP="00BB5F5A">
            <w:pPr>
              <w:rPr>
                <w:sz w:val="20"/>
                <w:szCs w:val="20"/>
              </w:rPr>
            </w:pPr>
            <w:r w:rsidRPr="00DB7CC7">
              <w:rPr>
                <w:sz w:val="20"/>
                <w:szCs w:val="20"/>
              </w:rPr>
              <w:t>Δ(RS)</w:t>
            </w:r>
          </w:p>
        </w:tc>
        <w:tc>
          <w:tcPr>
            <w:tcW w:w="1350" w:type="dxa"/>
            <w:tcBorders>
              <w:top w:val="nil"/>
              <w:bottom w:val="nil"/>
              <w:right w:val="nil"/>
            </w:tcBorders>
            <w:vAlign w:val="bottom"/>
          </w:tcPr>
          <w:p w14:paraId="1094171E" w14:textId="736EDF17" w:rsidR="00BB5F5A" w:rsidRPr="00DB7CC7" w:rsidRDefault="00BB5F5A" w:rsidP="00BB5F5A">
            <w:pPr>
              <w:jc w:val="center"/>
              <w:rPr>
                <w:sz w:val="20"/>
                <w:szCs w:val="20"/>
              </w:rPr>
            </w:pPr>
            <w:r w:rsidRPr="00DB7CC7">
              <w:rPr>
                <w:rFonts w:cs="Calibri"/>
                <w:color w:val="000000"/>
                <w:sz w:val="20"/>
                <w:szCs w:val="20"/>
              </w:rPr>
              <w:t>0.127</w:t>
            </w:r>
          </w:p>
        </w:tc>
        <w:tc>
          <w:tcPr>
            <w:tcW w:w="1185" w:type="dxa"/>
            <w:tcBorders>
              <w:top w:val="nil"/>
              <w:left w:val="nil"/>
              <w:bottom w:val="nil"/>
              <w:right w:val="nil"/>
            </w:tcBorders>
            <w:vAlign w:val="bottom"/>
          </w:tcPr>
          <w:p w14:paraId="1C4781D6" w14:textId="7F717149" w:rsidR="00BB5F5A" w:rsidRPr="00DB7CC7" w:rsidRDefault="00BB5F5A" w:rsidP="00BB5F5A">
            <w:pPr>
              <w:jc w:val="center"/>
              <w:rPr>
                <w:sz w:val="20"/>
                <w:szCs w:val="20"/>
              </w:rPr>
            </w:pPr>
            <w:r w:rsidRPr="00DB7CC7">
              <w:rPr>
                <w:rFonts w:cs="Calibri"/>
                <w:color w:val="000000"/>
                <w:sz w:val="20"/>
                <w:szCs w:val="20"/>
              </w:rPr>
              <w:t>0.171</w:t>
            </w:r>
          </w:p>
        </w:tc>
        <w:tc>
          <w:tcPr>
            <w:tcW w:w="1263" w:type="dxa"/>
            <w:tcBorders>
              <w:top w:val="nil"/>
              <w:left w:val="nil"/>
              <w:bottom w:val="nil"/>
              <w:right w:val="single" w:sz="4" w:space="0" w:color="auto"/>
            </w:tcBorders>
          </w:tcPr>
          <w:p w14:paraId="139D6DEE" w14:textId="2549251C" w:rsidR="00BB5F5A" w:rsidRPr="00DB7CC7" w:rsidRDefault="00372816" w:rsidP="00BB5F5A">
            <w:pPr>
              <w:jc w:val="center"/>
              <w:rPr>
                <w:rFonts w:cs="Calibri"/>
                <w:color w:val="000000"/>
                <w:sz w:val="20"/>
                <w:szCs w:val="20"/>
              </w:rPr>
            </w:pPr>
            <w:r w:rsidRPr="00DB7CC7">
              <w:rPr>
                <w:rFonts w:cs="Calibri"/>
                <w:color w:val="000000"/>
                <w:sz w:val="20"/>
                <w:szCs w:val="20"/>
              </w:rPr>
              <w:t>-0.044</w:t>
            </w:r>
          </w:p>
        </w:tc>
        <w:tc>
          <w:tcPr>
            <w:tcW w:w="1382" w:type="dxa"/>
            <w:tcBorders>
              <w:top w:val="nil"/>
              <w:left w:val="single" w:sz="4" w:space="0" w:color="auto"/>
              <w:bottom w:val="nil"/>
              <w:right w:val="nil"/>
            </w:tcBorders>
            <w:vAlign w:val="bottom"/>
          </w:tcPr>
          <w:p w14:paraId="198EF7D7" w14:textId="0BC4BE6B" w:rsidR="00BB5F5A" w:rsidRPr="00DB7CC7" w:rsidRDefault="00BB5F5A" w:rsidP="00BB5F5A">
            <w:pPr>
              <w:jc w:val="center"/>
              <w:rPr>
                <w:rFonts w:cs="Calibri"/>
                <w:color w:val="000000"/>
                <w:sz w:val="20"/>
                <w:szCs w:val="20"/>
              </w:rPr>
            </w:pPr>
            <w:r w:rsidRPr="00DB7CC7">
              <w:rPr>
                <w:rFonts w:cs="Calibri"/>
                <w:color w:val="000000"/>
                <w:sz w:val="20"/>
                <w:szCs w:val="20"/>
              </w:rPr>
              <w:t>1.485</w:t>
            </w:r>
          </w:p>
        </w:tc>
        <w:tc>
          <w:tcPr>
            <w:tcW w:w="1384" w:type="dxa"/>
            <w:tcBorders>
              <w:top w:val="nil"/>
              <w:left w:val="nil"/>
              <w:bottom w:val="nil"/>
              <w:right w:val="nil"/>
            </w:tcBorders>
            <w:vAlign w:val="bottom"/>
          </w:tcPr>
          <w:p w14:paraId="7E4CC176" w14:textId="15C9CDAA" w:rsidR="00BB5F5A" w:rsidRPr="00DB7CC7" w:rsidRDefault="00BB5F5A" w:rsidP="00BB5F5A">
            <w:pPr>
              <w:jc w:val="center"/>
              <w:rPr>
                <w:sz w:val="20"/>
                <w:szCs w:val="20"/>
              </w:rPr>
            </w:pPr>
            <w:r w:rsidRPr="00DB7CC7">
              <w:rPr>
                <w:rFonts w:cs="Calibri"/>
                <w:color w:val="000000"/>
                <w:sz w:val="20"/>
                <w:szCs w:val="20"/>
              </w:rPr>
              <w:t>1.109</w:t>
            </w:r>
          </w:p>
        </w:tc>
        <w:tc>
          <w:tcPr>
            <w:tcW w:w="1356" w:type="dxa"/>
            <w:tcBorders>
              <w:top w:val="nil"/>
              <w:left w:val="nil"/>
              <w:bottom w:val="nil"/>
            </w:tcBorders>
            <w:vAlign w:val="bottom"/>
          </w:tcPr>
          <w:p w14:paraId="61A6BA16" w14:textId="633BB74A" w:rsidR="00BB5F5A" w:rsidRPr="00DB7CC7" w:rsidRDefault="00372816" w:rsidP="00BB5F5A">
            <w:pPr>
              <w:jc w:val="center"/>
              <w:rPr>
                <w:sz w:val="20"/>
                <w:szCs w:val="20"/>
              </w:rPr>
            </w:pPr>
            <w:r w:rsidRPr="00DB7CC7">
              <w:rPr>
                <w:sz w:val="20"/>
                <w:szCs w:val="20"/>
              </w:rPr>
              <w:t>0.376*</w:t>
            </w:r>
          </w:p>
        </w:tc>
      </w:tr>
      <w:tr w:rsidR="00BB5F5A" w:rsidRPr="00DB7CC7" w14:paraId="5CFDFB5C" w14:textId="77777777" w:rsidTr="00E96997">
        <w:tc>
          <w:tcPr>
            <w:tcW w:w="2335" w:type="dxa"/>
            <w:tcBorders>
              <w:top w:val="nil"/>
              <w:bottom w:val="nil"/>
            </w:tcBorders>
          </w:tcPr>
          <w:p w14:paraId="5FE1AB1E" w14:textId="66E2D43C" w:rsidR="00BB5F5A" w:rsidRPr="00DB7CC7" w:rsidRDefault="00BB5F5A" w:rsidP="00BB5F5A">
            <w:pPr>
              <w:rPr>
                <w:sz w:val="20"/>
                <w:szCs w:val="20"/>
              </w:rPr>
            </w:pPr>
            <w:r w:rsidRPr="00DB7CC7">
              <w:rPr>
                <w:sz w:val="20"/>
                <w:szCs w:val="20"/>
              </w:rPr>
              <w:t>Δ(PMI)</w:t>
            </w:r>
          </w:p>
        </w:tc>
        <w:tc>
          <w:tcPr>
            <w:tcW w:w="1350" w:type="dxa"/>
            <w:tcBorders>
              <w:top w:val="nil"/>
              <w:bottom w:val="nil"/>
              <w:right w:val="nil"/>
            </w:tcBorders>
            <w:vAlign w:val="bottom"/>
          </w:tcPr>
          <w:p w14:paraId="6F6E812D" w14:textId="1D0183AB" w:rsidR="00BB5F5A" w:rsidRPr="00DB7CC7" w:rsidRDefault="00BB5F5A" w:rsidP="00E96997">
            <w:pPr>
              <w:jc w:val="center"/>
              <w:rPr>
                <w:sz w:val="20"/>
                <w:szCs w:val="20"/>
              </w:rPr>
            </w:pPr>
            <w:r w:rsidRPr="00DB7CC7">
              <w:rPr>
                <w:rFonts w:cs="Calibri"/>
                <w:color w:val="000000"/>
                <w:sz w:val="20"/>
                <w:szCs w:val="20"/>
              </w:rPr>
              <w:t>0.</w:t>
            </w:r>
            <w:r w:rsidR="00E96997">
              <w:rPr>
                <w:rFonts w:cs="Calibri"/>
                <w:color w:val="000000"/>
                <w:sz w:val="20"/>
                <w:szCs w:val="20"/>
              </w:rPr>
              <w:t>31</w:t>
            </w:r>
            <w:r w:rsidRPr="00DB7CC7">
              <w:rPr>
                <w:rFonts w:cs="Calibri"/>
                <w:color w:val="000000"/>
                <w:sz w:val="20"/>
                <w:szCs w:val="20"/>
              </w:rPr>
              <w:t>0</w:t>
            </w:r>
          </w:p>
        </w:tc>
        <w:tc>
          <w:tcPr>
            <w:tcW w:w="1185" w:type="dxa"/>
            <w:tcBorders>
              <w:top w:val="nil"/>
              <w:left w:val="nil"/>
              <w:bottom w:val="nil"/>
              <w:right w:val="nil"/>
            </w:tcBorders>
            <w:vAlign w:val="bottom"/>
          </w:tcPr>
          <w:p w14:paraId="7D5E8F09" w14:textId="48C76713" w:rsidR="00BB5F5A" w:rsidRPr="00DB7CC7" w:rsidRDefault="00BB5F5A" w:rsidP="00E96997">
            <w:pPr>
              <w:jc w:val="center"/>
              <w:rPr>
                <w:sz w:val="20"/>
                <w:szCs w:val="20"/>
              </w:rPr>
            </w:pPr>
            <w:r w:rsidRPr="00DB7CC7">
              <w:rPr>
                <w:rFonts w:cs="Calibri"/>
                <w:color w:val="000000"/>
                <w:sz w:val="20"/>
                <w:szCs w:val="20"/>
              </w:rPr>
              <w:t>0.3</w:t>
            </w:r>
            <w:r w:rsidR="00E96997">
              <w:rPr>
                <w:rFonts w:cs="Calibri"/>
                <w:color w:val="000000"/>
                <w:sz w:val="20"/>
                <w:szCs w:val="20"/>
              </w:rPr>
              <w:t>9</w:t>
            </w:r>
            <w:r w:rsidRPr="00DB7CC7">
              <w:rPr>
                <w:rFonts w:cs="Calibri"/>
                <w:color w:val="000000"/>
                <w:sz w:val="20"/>
                <w:szCs w:val="20"/>
              </w:rPr>
              <w:t>9</w:t>
            </w:r>
          </w:p>
        </w:tc>
        <w:tc>
          <w:tcPr>
            <w:tcW w:w="1263" w:type="dxa"/>
            <w:tcBorders>
              <w:top w:val="nil"/>
              <w:left w:val="nil"/>
              <w:bottom w:val="nil"/>
              <w:right w:val="single" w:sz="4" w:space="0" w:color="auto"/>
            </w:tcBorders>
          </w:tcPr>
          <w:p w14:paraId="0BC09601" w14:textId="4E8F8C68" w:rsidR="00BB5F5A" w:rsidRPr="00DB7CC7" w:rsidRDefault="00372816" w:rsidP="00BB5F5A">
            <w:pPr>
              <w:jc w:val="center"/>
              <w:rPr>
                <w:rFonts w:cs="Calibri"/>
                <w:color w:val="000000"/>
                <w:sz w:val="20"/>
                <w:szCs w:val="20"/>
              </w:rPr>
            </w:pPr>
            <w:r w:rsidRPr="00DB7CC7">
              <w:rPr>
                <w:rFonts w:cs="Calibri"/>
                <w:color w:val="000000"/>
                <w:sz w:val="20"/>
                <w:szCs w:val="20"/>
              </w:rPr>
              <w:t>-0.089**</w:t>
            </w:r>
          </w:p>
        </w:tc>
        <w:tc>
          <w:tcPr>
            <w:tcW w:w="1382" w:type="dxa"/>
            <w:tcBorders>
              <w:top w:val="nil"/>
              <w:left w:val="single" w:sz="4" w:space="0" w:color="auto"/>
              <w:bottom w:val="nil"/>
              <w:right w:val="nil"/>
            </w:tcBorders>
            <w:vAlign w:val="bottom"/>
          </w:tcPr>
          <w:p w14:paraId="764750B8" w14:textId="79E3AE79" w:rsidR="00BB5F5A" w:rsidRPr="00DB7CC7" w:rsidRDefault="00BB5F5A" w:rsidP="00BB5F5A">
            <w:pPr>
              <w:jc w:val="center"/>
              <w:rPr>
                <w:rFonts w:cs="Calibri"/>
                <w:color w:val="000000"/>
                <w:sz w:val="20"/>
                <w:szCs w:val="20"/>
              </w:rPr>
            </w:pPr>
            <w:r w:rsidRPr="00DB7CC7">
              <w:rPr>
                <w:rFonts w:cs="Calibri"/>
                <w:color w:val="000000"/>
                <w:sz w:val="20"/>
                <w:szCs w:val="20"/>
              </w:rPr>
              <w:t>6.614</w:t>
            </w:r>
          </w:p>
        </w:tc>
        <w:tc>
          <w:tcPr>
            <w:tcW w:w="1384" w:type="dxa"/>
            <w:tcBorders>
              <w:top w:val="nil"/>
              <w:left w:val="nil"/>
              <w:bottom w:val="nil"/>
              <w:right w:val="nil"/>
            </w:tcBorders>
            <w:vAlign w:val="bottom"/>
          </w:tcPr>
          <w:p w14:paraId="2FA2377E" w14:textId="2EA94F3F" w:rsidR="00BB5F5A" w:rsidRPr="00DB7CC7" w:rsidRDefault="00BB5F5A" w:rsidP="00BB5F5A">
            <w:pPr>
              <w:jc w:val="center"/>
              <w:rPr>
                <w:sz w:val="20"/>
                <w:szCs w:val="20"/>
              </w:rPr>
            </w:pPr>
            <w:r w:rsidRPr="00DB7CC7">
              <w:rPr>
                <w:rFonts w:cs="Calibri"/>
                <w:color w:val="000000"/>
                <w:sz w:val="20"/>
                <w:szCs w:val="20"/>
              </w:rPr>
              <w:t>3.940</w:t>
            </w:r>
          </w:p>
        </w:tc>
        <w:tc>
          <w:tcPr>
            <w:tcW w:w="1356" w:type="dxa"/>
            <w:tcBorders>
              <w:top w:val="nil"/>
              <w:left w:val="nil"/>
              <w:bottom w:val="nil"/>
            </w:tcBorders>
            <w:vAlign w:val="bottom"/>
          </w:tcPr>
          <w:p w14:paraId="7D37B3E9" w14:textId="77CF3546" w:rsidR="00BB5F5A" w:rsidRPr="00DB7CC7" w:rsidRDefault="00372816" w:rsidP="00BB5F5A">
            <w:pPr>
              <w:jc w:val="center"/>
              <w:rPr>
                <w:sz w:val="20"/>
                <w:szCs w:val="20"/>
              </w:rPr>
            </w:pPr>
            <w:r w:rsidRPr="00DB7CC7">
              <w:rPr>
                <w:sz w:val="20"/>
                <w:szCs w:val="20"/>
              </w:rPr>
              <w:t>2.674**</w:t>
            </w:r>
          </w:p>
        </w:tc>
      </w:tr>
      <w:tr w:rsidR="00BB5F5A" w:rsidRPr="00DB7CC7" w14:paraId="36284A0E" w14:textId="77777777" w:rsidTr="00E96997">
        <w:tc>
          <w:tcPr>
            <w:tcW w:w="2335" w:type="dxa"/>
            <w:tcBorders>
              <w:top w:val="nil"/>
              <w:bottom w:val="nil"/>
            </w:tcBorders>
          </w:tcPr>
          <w:p w14:paraId="16A0F315" w14:textId="3601DB1F" w:rsidR="00BB5F5A" w:rsidRPr="00DB7CC7" w:rsidRDefault="00E96997" w:rsidP="00E96997">
            <w:pPr>
              <w:rPr>
                <w:sz w:val="20"/>
                <w:szCs w:val="20"/>
              </w:rPr>
            </w:pPr>
            <w:r>
              <w:rPr>
                <w:sz w:val="20"/>
                <w:szCs w:val="20"/>
              </w:rPr>
              <w:t>EURI</w:t>
            </w:r>
            <w:r w:rsidR="00BB5F5A" w:rsidRPr="00DB7CC7">
              <w:rPr>
                <w:sz w:val="20"/>
                <w:szCs w:val="20"/>
              </w:rPr>
              <w:t>BOR-OIS spread</w:t>
            </w:r>
          </w:p>
        </w:tc>
        <w:tc>
          <w:tcPr>
            <w:tcW w:w="1350" w:type="dxa"/>
            <w:tcBorders>
              <w:top w:val="nil"/>
              <w:bottom w:val="nil"/>
              <w:right w:val="nil"/>
            </w:tcBorders>
            <w:vAlign w:val="bottom"/>
          </w:tcPr>
          <w:p w14:paraId="379A2D5E" w14:textId="0B6209FF" w:rsidR="00BB5F5A" w:rsidRPr="00DB7CC7" w:rsidRDefault="00BB5F5A" w:rsidP="00E96997">
            <w:pPr>
              <w:jc w:val="center"/>
              <w:rPr>
                <w:sz w:val="20"/>
                <w:szCs w:val="20"/>
              </w:rPr>
            </w:pPr>
            <w:r w:rsidRPr="00DB7CC7">
              <w:rPr>
                <w:rFonts w:cs="Calibri"/>
                <w:color w:val="000000"/>
                <w:sz w:val="20"/>
                <w:szCs w:val="20"/>
              </w:rPr>
              <w:t>0.</w:t>
            </w:r>
            <w:r w:rsidR="00E96997">
              <w:rPr>
                <w:rFonts w:cs="Calibri"/>
                <w:color w:val="000000"/>
                <w:sz w:val="20"/>
                <w:szCs w:val="20"/>
              </w:rPr>
              <w:t>64</w:t>
            </w:r>
            <w:r w:rsidRPr="00DB7CC7">
              <w:rPr>
                <w:rFonts w:cs="Calibri"/>
                <w:color w:val="000000"/>
                <w:sz w:val="20"/>
                <w:szCs w:val="20"/>
              </w:rPr>
              <w:t>2</w:t>
            </w:r>
          </w:p>
        </w:tc>
        <w:tc>
          <w:tcPr>
            <w:tcW w:w="1185" w:type="dxa"/>
            <w:tcBorders>
              <w:top w:val="nil"/>
              <w:left w:val="nil"/>
              <w:bottom w:val="nil"/>
              <w:right w:val="nil"/>
            </w:tcBorders>
            <w:vAlign w:val="bottom"/>
          </w:tcPr>
          <w:p w14:paraId="30CB4697" w14:textId="5D94FE2A" w:rsidR="00BB5F5A" w:rsidRPr="00DB7CC7" w:rsidRDefault="00BB5F5A" w:rsidP="00BB5F5A">
            <w:pPr>
              <w:jc w:val="center"/>
              <w:rPr>
                <w:sz w:val="20"/>
                <w:szCs w:val="20"/>
              </w:rPr>
            </w:pPr>
            <w:r w:rsidRPr="00DB7CC7">
              <w:rPr>
                <w:rFonts w:cs="Calibri"/>
                <w:color w:val="000000"/>
                <w:sz w:val="20"/>
                <w:szCs w:val="20"/>
              </w:rPr>
              <w:t>0.626</w:t>
            </w:r>
          </w:p>
        </w:tc>
        <w:tc>
          <w:tcPr>
            <w:tcW w:w="1263" w:type="dxa"/>
            <w:tcBorders>
              <w:top w:val="nil"/>
              <w:left w:val="nil"/>
              <w:bottom w:val="nil"/>
              <w:right w:val="single" w:sz="4" w:space="0" w:color="auto"/>
            </w:tcBorders>
          </w:tcPr>
          <w:p w14:paraId="2FF9F425" w14:textId="233E5348" w:rsidR="00BB5F5A" w:rsidRPr="00DB7CC7" w:rsidRDefault="00372816" w:rsidP="00E96997">
            <w:pPr>
              <w:jc w:val="center"/>
              <w:rPr>
                <w:rFonts w:cs="Calibri"/>
                <w:color w:val="000000"/>
                <w:sz w:val="20"/>
                <w:szCs w:val="20"/>
              </w:rPr>
            </w:pPr>
            <w:r w:rsidRPr="00DB7CC7">
              <w:rPr>
                <w:rFonts w:cs="Calibri"/>
                <w:color w:val="000000"/>
                <w:sz w:val="20"/>
                <w:szCs w:val="20"/>
              </w:rPr>
              <w:t>0.0</w:t>
            </w:r>
            <w:r w:rsidR="00E96997">
              <w:rPr>
                <w:rFonts w:cs="Calibri"/>
                <w:color w:val="000000"/>
                <w:sz w:val="20"/>
                <w:szCs w:val="20"/>
              </w:rPr>
              <w:t>16</w:t>
            </w:r>
          </w:p>
        </w:tc>
        <w:tc>
          <w:tcPr>
            <w:tcW w:w="1382" w:type="dxa"/>
            <w:tcBorders>
              <w:top w:val="nil"/>
              <w:left w:val="single" w:sz="4" w:space="0" w:color="auto"/>
              <w:bottom w:val="nil"/>
              <w:right w:val="nil"/>
            </w:tcBorders>
            <w:vAlign w:val="bottom"/>
          </w:tcPr>
          <w:p w14:paraId="23180769" w14:textId="34D5BE03" w:rsidR="00BB5F5A" w:rsidRPr="00DB7CC7" w:rsidRDefault="00BB5F5A" w:rsidP="00E96997">
            <w:pPr>
              <w:jc w:val="center"/>
              <w:rPr>
                <w:rFonts w:cs="Calibri"/>
                <w:color w:val="000000"/>
                <w:sz w:val="20"/>
                <w:szCs w:val="20"/>
              </w:rPr>
            </w:pPr>
            <w:r w:rsidRPr="00DB7CC7">
              <w:rPr>
                <w:rFonts w:cs="Calibri"/>
                <w:color w:val="000000"/>
                <w:sz w:val="20"/>
                <w:szCs w:val="20"/>
              </w:rPr>
              <w:t>0.</w:t>
            </w:r>
            <w:r w:rsidR="00E96997">
              <w:rPr>
                <w:rFonts w:cs="Calibri"/>
                <w:color w:val="000000"/>
                <w:sz w:val="20"/>
                <w:szCs w:val="20"/>
              </w:rPr>
              <w:t>086</w:t>
            </w:r>
          </w:p>
        </w:tc>
        <w:tc>
          <w:tcPr>
            <w:tcW w:w="1384" w:type="dxa"/>
            <w:tcBorders>
              <w:top w:val="nil"/>
              <w:left w:val="nil"/>
              <w:bottom w:val="nil"/>
              <w:right w:val="nil"/>
            </w:tcBorders>
            <w:vAlign w:val="bottom"/>
          </w:tcPr>
          <w:p w14:paraId="015FE7B9" w14:textId="4FBCD113" w:rsidR="00BB5F5A" w:rsidRPr="00DB7CC7" w:rsidRDefault="00BB5F5A" w:rsidP="00BB5F5A">
            <w:pPr>
              <w:jc w:val="center"/>
              <w:rPr>
                <w:sz w:val="20"/>
                <w:szCs w:val="20"/>
              </w:rPr>
            </w:pPr>
            <w:r w:rsidRPr="00DB7CC7">
              <w:rPr>
                <w:rFonts w:cs="Calibri"/>
                <w:color w:val="000000"/>
                <w:sz w:val="20"/>
                <w:szCs w:val="20"/>
              </w:rPr>
              <w:t>0.076</w:t>
            </w:r>
          </w:p>
        </w:tc>
        <w:tc>
          <w:tcPr>
            <w:tcW w:w="1356" w:type="dxa"/>
            <w:tcBorders>
              <w:top w:val="nil"/>
              <w:left w:val="nil"/>
              <w:bottom w:val="nil"/>
            </w:tcBorders>
            <w:vAlign w:val="bottom"/>
          </w:tcPr>
          <w:p w14:paraId="57496804" w14:textId="696176BA" w:rsidR="00BB5F5A" w:rsidRPr="00DB7CC7" w:rsidRDefault="00372816" w:rsidP="00E96997">
            <w:pPr>
              <w:jc w:val="center"/>
              <w:rPr>
                <w:sz w:val="20"/>
                <w:szCs w:val="20"/>
              </w:rPr>
            </w:pPr>
            <w:r w:rsidRPr="00DB7CC7">
              <w:rPr>
                <w:sz w:val="20"/>
                <w:szCs w:val="20"/>
              </w:rPr>
              <w:t>0.0</w:t>
            </w:r>
            <w:r w:rsidR="00E96997">
              <w:rPr>
                <w:sz w:val="20"/>
                <w:szCs w:val="20"/>
              </w:rPr>
              <w:t>10</w:t>
            </w:r>
          </w:p>
        </w:tc>
      </w:tr>
      <w:tr w:rsidR="00BB5F5A" w:rsidRPr="00DB7CC7" w14:paraId="33FA9DAF" w14:textId="77777777" w:rsidTr="00E96997">
        <w:tc>
          <w:tcPr>
            <w:tcW w:w="2335" w:type="dxa"/>
            <w:tcBorders>
              <w:top w:val="nil"/>
              <w:bottom w:val="nil"/>
            </w:tcBorders>
          </w:tcPr>
          <w:p w14:paraId="42ADCFE8" w14:textId="548AD158" w:rsidR="00BB5F5A" w:rsidRPr="00DB7CC7" w:rsidRDefault="00BB5F5A" w:rsidP="00BB5F5A">
            <w:pPr>
              <w:rPr>
                <w:sz w:val="20"/>
                <w:szCs w:val="20"/>
              </w:rPr>
            </w:pPr>
            <w:r w:rsidRPr="00DB7CC7">
              <w:rPr>
                <w:sz w:val="20"/>
                <w:szCs w:val="20"/>
              </w:rPr>
              <w:t>ITSP</w:t>
            </w:r>
          </w:p>
        </w:tc>
        <w:tc>
          <w:tcPr>
            <w:tcW w:w="1350" w:type="dxa"/>
            <w:tcBorders>
              <w:top w:val="nil"/>
              <w:bottom w:val="nil"/>
              <w:right w:val="nil"/>
            </w:tcBorders>
            <w:vAlign w:val="bottom"/>
          </w:tcPr>
          <w:p w14:paraId="210DC270" w14:textId="6B4E5679" w:rsidR="00BB5F5A" w:rsidRPr="00DB7CC7" w:rsidRDefault="00BB5F5A" w:rsidP="00BB5F5A">
            <w:pPr>
              <w:jc w:val="center"/>
              <w:rPr>
                <w:sz w:val="20"/>
                <w:szCs w:val="20"/>
              </w:rPr>
            </w:pPr>
            <w:r w:rsidRPr="00DB7CC7">
              <w:rPr>
                <w:rFonts w:cs="Calibri"/>
                <w:color w:val="000000"/>
                <w:sz w:val="20"/>
                <w:szCs w:val="20"/>
              </w:rPr>
              <w:t>0.088</w:t>
            </w:r>
          </w:p>
        </w:tc>
        <w:tc>
          <w:tcPr>
            <w:tcW w:w="1185" w:type="dxa"/>
            <w:tcBorders>
              <w:top w:val="nil"/>
              <w:left w:val="nil"/>
              <w:bottom w:val="nil"/>
              <w:right w:val="nil"/>
            </w:tcBorders>
            <w:vAlign w:val="bottom"/>
          </w:tcPr>
          <w:p w14:paraId="27E8FD49" w14:textId="37585EE3" w:rsidR="00BB5F5A" w:rsidRPr="00DB7CC7" w:rsidRDefault="00BB5F5A" w:rsidP="00BB5F5A">
            <w:pPr>
              <w:jc w:val="center"/>
              <w:rPr>
                <w:sz w:val="20"/>
                <w:szCs w:val="20"/>
              </w:rPr>
            </w:pPr>
            <w:r w:rsidRPr="00DB7CC7">
              <w:rPr>
                <w:rFonts w:cs="Calibri"/>
                <w:color w:val="000000"/>
                <w:sz w:val="20"/>
                <w:szCs w:val="20"/>
              </w:rPr>
              <w:t>0.122</w:t>
            </w:r>
          </w:p>
        </w:tc>
        <w:tc>
          <w:tcPr>
            <w:tcW w:w="1263" w:type="dxa"/>
            <w:tcBorders>
              <w:top w:val="nil"/>
              <w:left w:val="nil"/>
              <w:bottom w:val="nil"/>
              <w:right w:val="single" w:sz="4" w:space="0" w:color="auto"/>
            </w:tcBorders>
          </w:tcPr>
          <w:p w14:paraId="3265A724" w14:textId="6C841EB7" w:rsidR="00BB5F5A" w:rsidRPr="00DB7CC7" w:rsidRDefault="00372816" w:rsidP="00BB5F5A">
            <w:pPr>
              <w:jc w:val="center"/>
              <w:rPr>
                <w:rFonts w:cs="Calibri"/>
                <w:color w:val="000000"/>
                <w:sz w:val="20"/>
                <w:szCs w:val="20"/>
              </w:rPr>
            </w:pPr>
            <w:r w:rsidRPr="00DB7CC7">
              <w:rPr>
                <w:rFonts w:cs="Calibri"/>
                <w:color w:val="000000"/>
                <w:sz w:val="20"/>
                <w:szCs w:val="20"/>
              </w:rPr>
              <w:t>-0.034</w:t>
            </w:r>
          </w:p>
        </w:tc>
        <w:tc>
          <w:tcPr>
            <w:tcW w:w="1382" w:type="dxa"/>
            <w:tcBorders>
              <w:top w:val="nil"/>
              <w:left w:val="single" w:sz="4" w:space="0" w:color="auto"/>
              <w:bottom w:val="nil"/>
              <w:right w:val="nil"/>
            </w:tcBorders>
            <w:vAlign w:val="bottom"/>
          </w:tcPr>
          <w:p w14:paraId="00C9D4F1" w14:textId="19ADB446" w:rsidR="00BB5F5A" w:rsidRPr="00DB7CC7" w:rsidRDefault="00BB5F5A" w:rsidP="00BB5F5A">
            <w:pPr>
              <w:jc w:val="center"/>
              <w:rPr>
                <w:rFonts w:cs="Calibri"/>
                <w:color w:val="000000"/>
                <w:sz w:val="20"/>
                <w:szCs w:val="20"/>
              </w:rPr>
            </w:pPr>
            <w:r w:rsidRPr="00DB7CC7">
              <w:rPr>
                <w:rFonts w:cs="Calibri"/>
                <w:color w:val="000000"/>
                <w:sz w:val="20"/>
                <w:szCs w:val="20"/>
              </w:rPr>
              <w:t>0.452</w:t>
            </w:r>
          </w:p>
        </w:tc>
        <w:tc>
          <w:tcPr>
            <w:tcW w:w="1384" w:type="dxa"/>
            <w:tcBorders>
              <w:top w:val="nil"/>
              <w:left w:val="nil"/>
              <w:bottom w:val="nil"/>
              <w:right w:val="nil"/>
            </w:tcBorders>
            <w:vAlign w:val="bottom"/>
          </w:tcPr>
          <w:p w14:paraId="30498EA5" w14:textId="37E9AA43" w:rsidR="00BB5F5A" w:rsidRPr="00DB7CC7" w:rsidRDefault="00BB5F5A" w:rsidP="00BB5F5A">
            <w:pPr>
              <w:jc w:val="center"/>
              <w:rPr>
                <w:sz w:val="20"/>
                <w:szCs w:val="20"/>
              </w:rPr>
            </w:pPr>
            <w:r w:rsidRPr="00DB7CC7">
              <w:rPr>
                <w:rFonts w:cs="Calibri"/>
                <w:color w:val="000000"/>
                <w:sz w:val="20"/>
                <w:szCs w:val="20"/>
              </w:rPr>
              <w:t>0.428</w:t>
            </w:r>
          </w:p>
        </w:tc>
        <w:tc>
          <w:tcPr>
            <w:tcW w:w="1356" w:type="dxa"/>
            <w:tcBorders>
              <w:top w:val="nil"/>
              <w:left w:val="nil"/>
              <w:bottom w:val="nil"/>
            </w:tcBorders>
            <w:vAlign w:val="bottom"/>
          </w:tcPr>
          <w:p w14:paraId="10F22177" w14:textId="48E306A0" w:rsidR="00BB5F5A" w:rsidRPr="00DB7CC7" w:rsidRDefault="00372816" w:rsidP="00BB5F5A">
            <w:pPr>
              <w:jc w:val="center"/>
              <w:rPr>
                <w:sz w:val="20"/>
                <w:szCs w:val="20"/>
              </w:rPr>
            </w:pPr>
            <w:r w:rsidRPr="00DB7CC7">
              <w:rPr>
                <w:sz w:val="20"/>
                <w:szCs w:val="20"/>
              </w:rPr>
              <w:t>0.024</w:t>
            </w:r>
          </w:p>
        </w:tc>
      </w:tr>
      <w:tr w:rsidR="00BB5F5A" w:rsidRPr="00DB7CC7" w14:paraId="23FA5713" w14:textId="77777777" w:rsidTr="00E96997">
        <w:tc>
          <w:tcPr>
            <w:tcW w:w="2335" w:type="dxa"/>
            <w:tcBorders>
              <w:top w:val="nil"/>
              <w:bottom w:val="nil"/>
            </w:tcBorders>
          </w:tcPr>
          <w:p w14:paraId="03F129A7" w14:textId="55EB481F" w:rsidR="00BB5F5A" w:rsidRPr="00DB7CC7" w:rsidRDefault="00BB5F5A" w:rsidP="00BB5F5A">
            <w:pPr>
              <w:rPr>
                <w:sz w:val="20"/>
                <w:szCs w:val="20"/>
              </w:rPr>
            </w:pPr>
            <w:r w:rsidRPr="00DB7CC7">
              <w:rPr>
                <w:sz w:val="20"/>
                <w:szCs w:val="20"/>
              </w:rPr>
              <w:t>PTSP</w:t>
            </w:r>
          </w:p>
        </w:tc>
        <w:tc>
          <w:tcPr>
            <w:tcW w:w="1350" w:type="dxa"/>
            <w:tcBorders>
              <w:top w:val="nil"/>
              <w:bottom w:val="nil"/>
              <w:right w:val="nil"/>
            </w:tcBorders>
            <w:vAlign w:val="bottom"/>
          </w:tcPr>
          <w:p w14:paraId="55D78FEF" w14:textId="143022C8" w:rsidR="00BB5F5A" w:rsidRPr="00DB7CC7" w:rsidRDefault="00BB5F5A" w:rsidP="00BB5F5A">
            <w:pPr>
              <w:jc w:val="center"/>
              <w:rPr>
                <w:rFonts w:cs="Calibri"/>
                <w:color w:val="000000"/>
                <w:sz w:val="20"/>
                <w:szCs w:val="20"/>
              </w:rPr>
            </w:pPr>
            <w:r w:rsidRPr="00DB7CC7">
              <w:rPr>
                <w:rFonts w:cs="Calibri"/>
                <w:color w:val="000000"/>
                <w:sz w:val="20"/>
                <w:szCs w:val="20"/>
              </w:rPr>
              <w:t>0.015</w:t>
            </w:r>
          </w:p>
        </w:tc>
        <w:tc>
          <w:tcPr>
            <w:tcW w:w="1185" w:type="dxa"/>
            <w:tcBorders>
              <w:top w:val="nil"/>
              <w:left w:val="nil"/>
              <w:bottom w:val="nil"/>
              <w:right w:val="nil"/>
            </w:tcBorders>
            <w:vAlign w:val="bottom"/>
          </w:tcPr>
          <w:p w14:paraId="49B99A5E" w14:textId="15B31B6A" w:rsidR="00BB5F5A" w:rsidRPr="00DB7CC7" w:rsidRDefault="00BB5F5A" w:rsidP="00BB5F5A">
            <w:pPr>
              <w:jc w:val="center"/>
              <w:rPr>
                <w:rFonts w:cs="Calibri"/>
                <w:color w:val="000000"/>
                <w:sz w:val="20"/>
                <w:szCs w:val="20"/>
              </w:rPr>
            </w:pPr>
            <w:r w:rsidRPr="00DB7CC7">
              <w:rPr>
                <w:rFonts w:cs="Calibri"/>
                <w:color w:val="000000"/>
                <w:sz w:val="20"/>
                <w:szCs w:val="20"/>
              </w:rPr>
              <w:t>0.084</w:t>
            </w:r>
          </w:p>
        </w:tc>
        <w:tc>
          <w:tcPr>
            <w:tcW w:w="1263" w:type="dxa"/>
            <w:tcBorders>
              <w:top w:val="nil"/>
              <w:left w:val="nil"/>
              <w:bottom w:val="nil"/>
              <w:right w:val="single" w:sz="4" w:space="0" w:color="auto"/>
            </w:tcBorders>
          </w:tcPr>
          <w:p w14:paraId="0660E401" w14:textId="740A5E80" w:rsidR="00372816" w:rsidRPr="00DB7CC7" w:rsidRDefault="00372816" w:rsidP="00372816">
            <w:pPr>
              <w:jc w:val="center"/>
              <w:rPr>
                <w:rFonts w:cs="Calibri"/>
                <w:color w:val="000000"/>
                <w:sz w:val="20"/>
                <w:szCs w:val="20"/>
              </w:rPr>
            </w:pPr>
            <w:r w:rsidRPr="00DB7CC7">
              <w:rPr>
                <w:rFonts w:cs="Calibri"/>
                <w:color w:val="000000"/>
                <w:sz w:val="20"/>
                <w:szCs w:val="20"/>
              </w:rPr>
              <w:t>-0.069**</w:t>
            </w:r>
          </w:p>
        </w:tc>
        <w:tc>
          <w:tcPr>
            <w:tcW w:w="1382" w:type="dxa"/>
            <w:tcBorders>
              <w:top w:val="nil"/>
              <w:left w:val="single" w:sz="4" w:space="0" w:color="auto"/>
              <w:bottom w:val="nil"/>
              <w:right w:val="nil"/>
            </w:tcBorders>
            <w:vAlign w:val="bottom"/>
          </w:tcPr>
          <w:p w14:paraId="4E17B7E1" w14:textId="1A359519" w:rsidR="00BB5F5A" w:rsidRPr="00DB7CC7" w:rsidRDefault="00BB5F5A" w:rsidP="00BB5F5A">
            <w:pPr>
              <w:jc w:val="center"/>
              <w:rPr>
                <w:rFonts w:cs="Calibri"/>
                <w:color w:val="000000"/>
                <w:sz w:val="20"/>
                <w:szCs w:val="20"/>
              </w:rPr>
            </w:pPr>
            <w:r w:rsidRPr="00DB7CC7">
              <w:rPr>
                <w:rFonts w:cs="Calibri"/>
                <w:color w:val="000000"/>
                <w:sz w:val="20"/>
                <w:szCs w:val="20"/>
              </w:rPr>
              <w:t>0.445</w:t>
            </w:r>
          </w:p>
        </w:tc>
        <w:tc>
          <w:tcPr>
            <w:tcW w:w="1384" w:type="dxa"/>
            <w:tcBorders>
              <w:top w:val="nil"/>
              <w:left w:val="nil"/>
              <w:bottom w:val="nil"/>
              <w:right w:val="nil"/>
            </w:tcBorders>
            <w:vAlign w:val="bottom"/>
          </w:tcPr>
          <w:p w14:paraId="7063DA1E" w14:textId="14A5A1DF" w:rsidR="00BB5F5A" w:rsidRPr="00DB7CC7" w:rsidRDefault="00BB5F5A" w:rsidP="00BB5F5A">
            <w:pPr>
              <w:jc w:val="center"/>
              <w:rPr>
                <w:rFonts w:cs="Calibri"/>
                <w:color w:val="000000"/>
                <w:sz w:val="20"/>
                <w:szCs w:val="20"/>
              </w:rPr>
            </w:pPr>
            <w:r w:rsidRPr="00DB7CC7">
              <w:rPr>
                <w:rFonts w:cs="Calibri"/>
                <w:color w:val="000000"/>
                <w:sz w:val="20"/>
                <w:szCs w:val="20"/>
              </w:rPr>
              <w:t>0.342</w:t>
            </w:r>
          </w:p>
        </w:tc>
        <w:tc>
          <w:tcPr>
            <w:tcW w:w="1356" w:type="dxa"/>
            <w:tcBorders>
              <w:top w:val="nil"/>
              <w:left w:val="nil"/>
              <w:bottom w:val="nil"/>
            </w:tcBorders>
            <w:vAlign w:val="bottom"/>
          </w:tcPr>
          <w:p w14:paraId="41B3A629" w14:textId="09672AA9" w:rsidR="00BB5F5A" w:rsidRPr="00DB7CC7" w:rsidRDefault="00372816" w:rsidP="00BB5F5A">
            <w:pPr>
              <w:jc w:val="center"/>
              <w:rPr>
                <w:rFonts w:cs="Calibri"/>
                <w:color w:val="000000"/>
                <w:sz w:val="20"/>
                <w:szCs w:val="20"/>
              </w:rPr>
            </w:pPr>
            <w:r w:rsidRPr="00DB7CC7">
              <w:rPr>
                <w:rFonts w:cs="Calibri"/>
                <w:color w:val="000000"/>
                <w:sz w:val="20"/>
                <w:szCs w:val="20"/>
              </w:rPr>
              <w:t>0.103*</w:t>
            </w:r>
          </w:p>
        </w:tc>
      </w:tr>
      <w:tr w:rsidR="00BB5F5A" w:rsidRPr="00DB7CC7" w14:paraId="7991D06C" w14:textId="77777777" w:rsidTr="00E96997">
        <w:tc>
          <w:tcPr>
            <w:tcW w:w="2335" w:type="dxa"/>
            <w:tcBorders>
              <w:top w:val="nil"/>
              <w:bottom w:val="nil"/>
            </w:tcBorders>
          </w:tcPr>
          <w:p w14:paraId="3625EDA9" w14:textId="160274E1" w:rsidR="00BB5F5A" w:rsidRPr="00DB7CC7" w:rsidRDefault="00BB5F5A" w:rsidP="00BB5F5A">
            <w:pPr>
              <w:rPr>
                <w:sz w:val="20"/>
                <w:szCs w:val="20"/>
              </w:rPr>
            </w:pPr>
            <w:r w:rsidRPr="00DB7CC7">
              <w:rPr>
                <w:sz w:val="20"/>
                <w:szCs w:val="20"/>
              </w:rPr>
              <w:t>GRSP</w:t>
            </w:r>
          </w:p>
        </w:tc>
        <w:tc>
          <w:tcPr>
            <w:tcW w:w="1350" w:type="dxa"/>
            <w:tcBorders>
              <w:top w:val="nil"/>
              <w:bottom w:val="nil"/>
              <w:right w:val="nil"/>
            </w:tcBorders>
            <w:vAlign w:val="bottom"/>
          </w:tcPr>
          <w:p w14:paraId="681B2BC8" w14:textId="4F864A02" w:rsidR="00BB5F5A" w:rsidRPr="00DB7CC7" w:rsidRDefault="00BB5F5A" w:rsidP="00BB5F5A">
            <w:pPr>
              <w:jc w:val="center"/>
              <w:rPr>
                <w:rFonts w:cs="Calibri"/>
                <w:color w:val="000000"/>
                <w:sz w:val="20"/>
                <w:szCs w:val="20"/>
              </w:rPr>
            </w:pPr>
            <w:r w:rsidRPr="00DB7CC7">
              <w:rPr>
                <w:rFonts w:cs="Calibri"/>
                <w:color w:val="000000"/>
                <w:sz w:val="20"/>
                <w:szCs w:val="20"/>
              </w:rPr>
              <w:t>0.068</w:t>
            </w:r>
          </w:p>
        </w:tc>
        <w:tc>
          <w:tcPr>
            <w:tcW w:w="1185" w:type="dxa"/>
            <w:tcBorders>
              <w:top w:val="nil"/>
              <w:left w:val="nil"/>
              <w:bottom w:val="nil"/>
              <w:right w:val="nil"/>
            </w:tcBorders>
            <w:vAlign w:val="bottom"/>
          </w:tcPr>
          <w:p w14:paraId="756B8B1E" w14:textId="6DD211B4" w:rsidR="00BB5F5A" w:rsidRPr="00DB7CC7" w:rsidRDefault="00BB5F5A" w:rsidP="00BB5F5A">
            <w:pPr>
              <w:jc w:val="center"/>
              <w:rPr>
                <w:rFonts w:cs="Calibri"/>
                <w:color w:val="000000"/>
                <w:sz w:val="20"/>
                <w:szCs w:val="20"/>
              </w:rPr>
            </w:pPr>
            <w:r w:rsidRPr="00DB7CC7">
              <w:rPr>
                <w:rFonts w:cs="Calibri"/>
                <w:color w:val="000000"/>
                <w:sz w:val="20"/>
                <w:szCs w:val="20"/>
              </w:rPr>
              <w:t>0.122</w:t>
            </w:r>
          </w:p>
        </w:tc>
        <w:tc>
          <w:tcPr>
            <w:tcW w:w="1263" w:type="dxa"/>
            <w:tcBorders>
              <w:top w:val="nil"/>
              <w:left w:val="nil"/>
              <w:bottom w:val="nil"/>
              <w:right w:val="single" w:sz="4" w:space="0" w:color="auto"/>
            </w:tcBorders>
          </w:tcPr>
          <w:p w14:paraId="41083308" w14:textId="4CD843D8" w:rsidR="00BB5F5A" w:rsidRPr="00DB7CC7" w:rsidRDefault="00372816" w:rsidP="00BB5F5A">
            <w:pPr>
              <w:jc w:val="center"/>
              <w:rPr>
                <w:rFonts w:cs="Calibri"/>
                <w:color w:val="000000"/>
                <w:sz w:val="20"/>
                <w:szCs w:val="20"/>
              </w:rPr>
            </w:pPr>
            <w:r w:rsidRPr="00DB7CC7">
              <w:rPr>
                <w:rFonts w:cs="Calibri"/>
                <w:color w:val="000000"/>
                <w:sz w:val="20"/>
                <w:szCs w:val="20"/>
              </w:rPr>
              <w:t>-0.054**</w:t>
            </w:r>
          </w:p>
        </w:tc>
        <w:tc>
          <w:tcPr>
            <w:tcW w:w="1382" w:type="dxa"/>
            <w:tcBorders>
              <w:top w:val="nil"/>
              <w:left w:val="single" w:sz="4" w:space="0" w:color="auto"/>
              <w:bottom w:val="nil"/>
              <w:right w:val="nil"/>
            </w:tcBorders>
            <w:vAlign w:val="bottom"/>
          </w:tcPr>
          <w:p w14:paraId="729A940B" w14:textId="313FADEC" w:rsidR="00BB5F5A" w:rsidRPr="00DB7CC7" w:rsidRDefault="00BB5F5A" w:rsidP="00BB5F5A">
            <w:pPr>
              <w:jc w:val="center"/>
              <w:rPr>
                <w:rFonts w:cs="Calibri"/>
                <w:color w:val="000000"/>
                <w:sz w:val="20"/>
                <w:szCs w:val="20"/>
              </w:rPr>
            </w:pPr>
            <w:r w:rsidRPr="00DB7CC7">
              <w:rPr>
                <w:rFonts w:cs="Calibri"/>
                <w:color w:val="000000"/>
                <w:sz w:val="20"/>
                <w:szCs w:val="20"/>
              </w:rPr>
              <w:t>1.475</w:t>
            </w:r>
          </w:p>
        </w:tc>
        <w:tc>
          <w:tcPr>
            <w:tcW w:w="1384" w:type="dxa"/>
            <w:tcBorders>
              <w:top w:val="nil"/>
              <w:left w:val="nil"/>
              <w:bottom w:val="nil"/>
              <w:right w:val="nil"/>
            </w:tcBorders>
            <w:vAlign w:val="bottom"/>
          </w:tcPr>
          <w:p w14:paraId="39C4FA94" w14:textId="72FFFC44" w:rsidR="00BB5F5A" w:rsidRPr="00DB7CC7" w:rsidRDefault="00BB5F5A" w:rsidP="00BB5F5A">
            <w:pPr>
              <w:jc w:val="center"/>
              <w:rPr>
                <w:rFonts w:cs="Calibri"/>
                <w:color w:val="000000"/>
                <w:sz w:val="20"/>
                <w:szCs w:val="20"/>
              </w:rPr>
            </w:pPr>
            <w:r w:rsidRPr="00DB7CC7">
              <w:rPr>
                <w:rFonts w:cs="Calibri"/>
                <w:color w:val="000000"/>
                <w:sz w:val="20"/>
                <w:szCs w:val="20"/>
              </w:rPr>
              <w:t>1.250</w:t>
            </w:r>
          </w:p>
        </w:tc>
        <w:tc>
          <w:tcPr>
            <w:tcW w:w="1356" w:type="dxa"/>
            <w:tcBorders>
              <w:top w:val="nil"/>
              <w:left w:val="nil"/>
              <w:bottom w:val="nil"/>
            </w:tcBorders>
            <w:vAlign w:val="bottom"/>
          </w:tcPr>
          <w:p w14:paraId="54CDE332" w14:textId="1F41A385" w:rsidR="00BB5F5A" w:rsidRPr="00DB7CC7" w:rsidRDefault="00372816" w:rsidP="00BB5F5A">
            <w:pPr>
              <w:jc w:val="center"/>
              <w:rPr>
                <w:rFonts w:cs="Calibri"/>
                <w:color w:val="000000"/>
                <w:sz w:val="20"/>
                <w:szCs w:val="20"/>
              </w:rPr>
            </w:pPr>
            <w:r w:rsidRPr="00DB7CC7">
              <w:rPr>
                <w:rFonts w:cs="Calibri"/>
                <w:color w:val="000000"/>
                <w:sz w:val="20"/>
                <w:szCs w:val="20"/>
              </w:rPr>
              <w:t>0.225</w:t>
            </w:r>
            <w:r w:rsidR="00DB7CC7" w:rsidRPr="00DB7CC7">
              <w:rPr>
                <w:rFonts w:cs="Calibri"/>
                <w:color w:val="000000"/>
                <w:sz w:val="20"/>
                <w:szCs w:val="20"/>
              </w:rPr>
              <w:t>*</w:t>
            </w:r>
          </w:p>
        </w:tc>
      </w:tr>
      <w:tr w:rsidR="00BB5F5A" w:rsidRPr="00DB7CC7" w14:paraId="1D10EB1D" w14:textId="77777777" w:rsidTr="00E96997">
        <w:tc>
          <w:tcPr>
            <w:tcW w:w="2335" w:type="dxa"/>
            <w:tcBorders>
              <w:top w:val="nil"/>
              <w:bottom w:val="single" w:sz="4" w:space="0" w:color="auto"/>
            </w:tcBorders>
          </w:tcPr>
          <w:p w14:paraId="58E65859" w14:textId="03A829CB" w:rsidR="00BB5F5A" w:rsidRPr="00DB7CC7" w:rsidRDefault="00BB5F5A" w:rsidP="00BB5F5A">
            <w:pPr>
              <w:rPr>
                <w:sz w:val="20"/>
                <w:szCs w:val="20"/>
              </w:rPr>
            </w:pPr>
            <w:r w:rsidRPr="00DB7CC7">
              <w:rPr>
                <w:sz w:val="20"/>
                <w:szCs w:val="20"/>
              </w:rPr>
              <w:t>SPSP</w:t>
            </w:r>
          </w:p>
        </w:tc>
        <w:tc>
          <w:tcPr>
            <w:tcW w:w="1350" w:type="dxa"/>
            <w:tcBorders>
              <w:top w:val="nil"/>
              <w:bottom w:val="single" w:sz="4" w:space="0" w:color="auto"/>
              <w:right w:val="nil"/>
            </w:tcBorders>
            <w:vAlign w:val="bottom"/>
          </w:tcPr>
          <w:p w14:paraId="17D827A6" w14:textId="284FFCF7" w:rsidR="00BB5F5A" w:rsidRPr="00DB7CC7" w:rsidRDefault="00BB5F5A" w:rsidP="00BB5F5A">
            <w:pPr>
              <w:jc w:val="center"/>
              <w:rPr>
                <w:sz w:val="20"/>
                <w:szCs w:val="20"/>
              </w:rPr>
            </w:pPr>
            <w:r w:rsidRPr="00DB7CC7">
              <w:rPr>
                <w:rFonts w:cs="Calibri"/>
                <w:color w:val="000000"/>
                <w:sz w:val="20"/>
                <w:szCs w:val="20"/>
              </w:rPr>
              <w:t>0.044</w:t>
            </w:r>
          </w:p>
        </w:tc>
        <w:tc>
          <w:tcPr>
            <w:tcW w:w="1185" w:type="dxa"/>
            <w:tcBorders>
              <w:top w:val="nil"/>
              <w:left w:val="nil"/>
              <w:bottom w:val="nil"/>
              <w:right w:val="nil"/>
            </w:tcBorders>
            <w:vAlign w:val="bottom"/>
          </w:tcPr>
          <w:p w14:paraId="5A75D28F" w14:textId="1FA85E08" w:rsidR="00BB5F5A" w:rsidRPr="00DB7CC7" w:rsidRDefault="00BB5F5A" w:rsidP="00BB5F5A">
            <w:pPr>
              <w:jc w:val="center"/>
              <w:rPr>
                <w:sz w:val="20"/>
                <w:szCs w:val="20"/>
              </w:rPr>
            </w:pPr>
            <w:r w:rsidRPr="00DB7CC7">
              <w:rPr>
                <w:rFonts w:cs="Calibri"/>
                <w:color w:val="000000"/>
                <w:sz w:val="20"/>
                <w:szCs w:val="20"/>
              </w:rPr>
              <w:t>0.106</w:t>
            </w:r>
          </w:p>
        </w:tc>
        <w:tc>
          <w:tcPr>
            <w:tcW w:w="1263" w:type="dxa"/>
            <w:tcBorders>
              <w:top w:val="nil"/>
              <w:left w:val="nil"/>
              <w:bottom w:val="nil"/>
              <w:right w:val="single" w:sz="4" w:space="0" w:color="auto"/>
            </w:tcBorders>
          </w:tcPr>
          <w:p w14:paraId="1FE1388E" w14:textId="1FAF8C50" w:rsidR="00BB5F5A" w:rsidRPr="00DB7CC7" w:rsidRDefault="00372816" w:rsidP="00BB5F5A">
            <w:pPr>
              <w:jc w:val="center"/>
              <w:rPr>
                <w:rFonts w:cs="Calibri"/>
                <w:color w:val="000000"/>
                <w:sz w:val="20"/>
                <w:szCs w:val="20"/>
              </w:rPr>
            </w:pPr>
            <w:r w:rsidRPr="00DB7CC7">
              <w:rPr>
                <w:rFonts w:cs="Calibri"/>
                <w:color w:val="000000"/>
                <w:sz w:val="20"/>
                <w:szCs w:val="20"/>
              </w:rPr>
              <w:t>0.062**</w:t>
            </w:r>
          </w:p>
        </w:tc>
        <w:tc>
          <w:tcPr>
            <w:tcW w:w="1382" w:type="dxa"/>
            <w:tcBorders>
              <w:top w:val="nil"/>
              <w:left w:val="single" w:sz="4" w:space="0" w:color="auto"/>
              <w:bottom w:val="nil"/>
              <w:right w:val="nil"/>
            </w:tcBorders>
            <w:vAlign w:val="bottom"/>
          </w:tcPr>
          <w:p w14:paraId="1E4356E3" w14:textId="617DAC1F" w:rsidR="00BB5F5A" w:rsidRPr="00DB7CC7" w:rsidRDefault="00BB5F5A" w:rsidP="00BB5F5A">
            <w:pPr>
              <w:jc w:val="center"/>
              <w:rPr>
                <w:rFonts w:cs="Calibri"/>
                <w:color w:val="000000"/>
                <w:sz w:val="20"/>
                <w:szCs w:val="20"/>
              </w:rPr>
            </w:pPr>
            <w:r w:rsidRPr="00DB7CC7">
              <w:rPr>
                <w:rFonts w:cs="Calibri"/>
                <w:color w:val="000000"/>
                <w:sz w:val="20"/>
                <w:szCs w:val="20"/>
              </w:rPr>
              <w:t>0.340</w:t>
            </w:r>
          </w:p>
        </w:tc>
        <w:tc>
          <w:tcPr>
            <w:tcW w:w="1384" w:type="dxa"/>
            <w:tcBorders>
              <w:top w:val="nil"/>
              <w:left w:val="nil"/>
              <w:bottom w:val="nil"/>
              <w:right w:val="nil"/>
            </w:tcBorders>
            <w:vAlign w:val="bottom"/>
          </w:tcPr>
          <w:p w14:paraId="751BAE2F" w14:textId="2D40FF00" w:rsidR="00BB5F5A" w:rsidRPr="00DB7CC7" w:rsidRDefault="00BB5F5A" w:rsidP="00BB5F5A">
            <w:pPr>
              <w:jc w:val="center"/>
              <w:rPr>
                <w:sz w:val="20"/>
                <w:szCs w:val="20"/>
              </w:rPr>
            </w:pPr>
            <w:r w:rsidRPr="00DB7CC7">
              <w:rPr>
                <w:rFonts w:cs="Calibri"/>
                <w:color w:val="000000"/>
                <w:sz w:val="20"/>
                <w:szCs w:val="20"/>
              </w:rPr>
              <w:t>0.245</w:t>
            </w:r>
          </w:p>
        </w:tc>
        <w:tc>
          <w:tcPr>
            <w:tcW w:w="1356" w:type="dxa"/>
            <w:tcBorders>
              <w:top w:val="nil"/>
              <w:left w:val="nil"/>
              <w:bottom w:val="single" w:sz="4" w:space="0" w:color="auto"/>
            </w:tcBorders>
            <w:vAlign w:val="bottom"/>
          </w:tcPr>
          <w:p w14:paraId="41F6330A" w14:textId="342AF9E9" w:rsidR="00BB5F5A" w:rsidRPr="00DB7CC7" w:rsidRDefault="00372816" w:rsidP="00BB5F5A">
            <w:pPr>
              <w:jc w:val="center"/>
              <w:rPr>
                <w:sz w:val="20"/>
                <w:szCs w:val="20"/>
              </w:rPr>
            </w:pPr>
            <w:r w:rsidRPr="00DB7CC7">
              <w:rPr>
                <w:sz w:val="20"/>
                <w:szCs w:val="20"/>
              </w:rPr>
              <w:t>0.095</w:t>
            </w:r>
            <w:r w:rsidR="00DB7CC7" w:rsidRPr="00DB7CC7">
              <w:rPr>
                <w:sz w:val="20"/>
                <w:szCs w:val="20"/>
              </w:rPr>
              <w:t>*</w:t>
            </w:r>
          </w:p>
        </w:tc>
      </w:tr>
      <w:tr w:rsidR="00BB5F5A" w:rsidRPr="00DB7CC7" w14:paraId="10D46F95" w14:textId="77777777" w:rsidTr="00372816">
        <w:tc>
          <w:tcPr>
            <w:tcW w:w="10255" w:type="dxa"/>
            <w:gridSpan w:val="7"/>
            <w:tcBorders>
              <w:top w:val="single" w:sz="4" w:space="0" w:color="auto"/>
            </w:tcBorders>
          </w:tcPr>
          <w:p w14:paraId="5CFA5F59" w14:textId="1868F7E4" w:rsidR="00BB5F5A" w:rsidRPr="00DB7CC7" w:rsidRDefault="00BB5F5A" w:rsidP="00BB5F5A">
            <w:pPr>
              <w:rPr>
                <w:sz w:val="20"/>
                <w:szCs w:val="20"/>
              </w:rPr>
            </w:pPr>
          </w:p>
          <w:p w14:paraId="0C28BF9D" w14:textId="072C676A" w:rsidR="00BB5F5A" w:rsidRPr="00DB7CC7" w:rsidRDefault="00BB5F5A" w:rsidP="00BB5F5A">
            <w:pPr>
              <w:jc w:val="both"/>
              <w:rPr>
                <w:rFonts w:cs="Calibri"/>
                <w:color w:val="000000"/>
                <w:sz w:val="20"/>
                <w:szCs w:val="20"/>
              </w:rPr>
            </w:pPr>
            <w:r w:rsidRPr="00DB7CC7">
              <w:rPr>
                <w:sz w:val="20"/>
                <w:szCs w:val="20"/>
              </w:rPr>
              <w:t>R</w:t>
            </w:r>
            <w:r w:rsidRPr="00DB7CC7">
              <w:rPr>
                <w:sz w:val="20"/>
                <w:szCs w:val="20"/>
                <w:vertAlign w:val="superscript"/>
              </w:rPr>
              <w:t>2</w:t>
            </w:r>
            <w:r w:rsidRPr="00DB7CC7">
              <w:rPr>
                <w:rFonts w:cs="Calibri"/>
                <w:color w:val="000000"/>
                <w:sz w:val="20"/>
                <w:szCs w:val="20"/>
              </w:rPr>
              <w:t xml:space="preserve"> refers to the regression of the network variables (Degree, CC, Closeness and LSCC) on the macro variables in the first column over the period January 2006 – December 2008. RSME refers to one-step-ahead forecasts from January 2009 until March 2010. Monthly observations.</w:t>
            </w:r>
            <w:r w:rsidR="00DB7CC7" w:rsidRPr="00DB7CC7">
              <w:rPr>
                <w:rFonts w:cs="Calibri"/>
                <w:color w:val="000000"/>
                <w:sz w:val="20"/>
                <w:szCs w:val="20"/>
              </w:rPr>
              <w:t xml:space="preserve"> </w:t>
            </w:r>
            <w:r w:rsidR="00DB7CC7" w:rsidRPr="00DB7CC7">
              <w:rPr>
                <w:sz w:val="20"/>
                <w:szCs w:val="20"/>
              </w:rPr>
              <w:t>*</w:t>
            </w:r>
            <w:r w:rsidR="00DB7CC7">
              <w:rPr>
                <w:sz w:val="20"/>
                <w:szCs w:val="20"/>
              </w:rPr>
              <w:t xml:space="preserve"> and</w:t>
            </w:r>
            <w:r w:rsidR="00DB7CC7" w:rsidRPr="00DB7CC7">
              <w:rPr>
                <w:sz w:val="20"/>
                <w:szCs w:val="20"/>
              </w:rPr>
              <w:t xml:space="preserve"> ** refer to significance levels of 10%</w:t>
            </w:r>
            <w:r w:rsidR="00DB7CC7">
              <w:rPr>
                <w:sz w:val="20"/>
                <w:szCs w:val="20"/>
              </w:rPr>
              <w:t xml:space="preserve"> and</w:t>
            </w:r>
            <w:r w:rsidR="00DB7CC7" w:rsidRPr="00DB7CC7">
              <w:rPr>
                <w:sz w:val="20"/>
                <w:szCs w:val="20"/>
              </w:rPr>
              <w:t xml:space="preserve"> 5%</w:t>
            </w:r>
            <w:r w:rsidR="00DB7CC7">
              <w:rPr>
                <w:sz w:val="20"/>
                <w:szCs w:val="20"/>
              </w:rPr>
              <w:t xml:space="preserve">. </w:t>
            </w:r>
          </w:p>
          <w:p w14:paraId="14C2D0E4" w14:textId="67E1D021" w:rsidR="00BB5F5A" w:rsidRPr="00DB7CC7" w:rsidRDefault="00BB5F5A" w:rsidP="00BB5F5A">
            <w:pPr>
              <w:rPr>
                <w:rFonts w:cs="Calibri"/>
                <w:color w:val="000000"/>
                <w:sz w:val="20"/>
                <w:szCs w:val="20"/>
              </w:rPr>
            </w:pPr>
          </w:p>
        </w:tc>
      </w:tr>
    </w:tbl>
    <w:p w14:paraId="5BBCF842" w14:textId="77777777" w:rsidR="00EF6DA3" w:rsidRDefault="00EF6DA3"/>
    <w:p w14:paraId="7B8CEF23" w14:textId="77777777" w:rsidR="0049479B" w:rsidRDefault="0049479B"/>
    <w:p w14:paraId="68BF18E2" w14:textId="77777777" w:rsidR="0049479B" w:rsidRDefault="0049479B"/>
    <w:p w14:paraId="062A8A05" w14:textId="77777777" w:rsidR="0049479B" w:rsidRDefault="0049479B"/>
    <w:p w14:paraId="5A8E0C66" w14:textId="77777777" w:rsidR="00EF6DA3" w:rsidRDefault="00EF6DA3"/>
    <w:p w14:paraId="05D8FA30" w14:textId="77777777" w:rsidR="00EA61EE" w:rsidRDefault="00EA61EE">
      <w:pPr>
        <w:sectPr w:rsidR="00EA61EE" w:rsidSect="001517AE">
          <w:footerReference w:type="default" r:id="rId15"/>
          <w:pgSz w:w="12240" w:h="15840"/>
          <w:pgMar w:top="1440" w:right="1440" w:bottom="1440" w:left="1440" w:header="720" w:footer="720" w:gutter="0"/>
          <w:pgNumType w:start="0"/>
          <w:cols w:space="720"/>
          <w:titlePg/>
          <w:docGrid w:linePitch="360"/>
        </w:sectPr>
      </w:pPr>
    </w:p>
    <w:p w14:paraId="0DA574AB" w14:textId="77777777" w:rsidR="00EF6DA3" w:rsidRDefault="00EF6DA3"/>
    <w:p w14:paraId="4EEBF2BB" w14:textId="3A36FFD6" w:rsidR="00777A0D" w:rsidRDefault="00C85A6D">
      <w:r>
        <w:t>Figure 1: e</w:t>
      </w:r>
      <w:r w:rsidR="004B39A4">
        <w:t>-</w:t>
      </w:r>
      <w:r>
        <w:t xml:space="preserve">Mid </w:t>
      </w:r>
      <w:r w:rsidR="00CE237D">
        <w:t xml:space="preserve">Daily </w:t>
      </w:r>
      <w:r w:rsidR="000F7A73">
        <w:t xml:space="preserve">Financial </w:t>
      </w:r>
      <w:r w:rsidR="00CE237D">
        <w:t>Variables</w:t>
      </w:r>
    </w:p>
    <w:p w14:paraId="5CFFFF0F" w14:textId="1CB4D1AE" w:rsidR="000F7A73" w:rsidRDefault="000F7A73" w:rsidP="00777A0D">
      <w:r>
        <w:rPr>
          <w:noProof/>
        </w:rPr>
        <w:drawing>
          <wp:inline distT="0" distB="0" distL="0" distR="0" wp14:anchorId="5FDCC96A" wp14:editId="72BFDC43">
            <wp:extent cx="7861110" cy="4455994"/>
            <wp:effectExtent l="0" t="0" r="698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Vars.png"/>
                    <pic:cNvPicPr/>
                  </pic:nvPicPr>
                  <pic:blipFill>
                    <a:blip r:embed="rId16">
                      <a:extLst>
                        <a:ext uri="{28A0092B-C50C-407E-A947-70E740481C1C}">
                          <a14:useLocalDpi xmlns:a14="http://schemas.microsoft.com/office/drawing/2010/main" val="0"/>
                        </a:ext>
                      </a:extLst>
                    </a:blip>
                    <a:stretch>
                      <a:fillRect/>
                    </a:stretch>
                  </pic:blipFill>
                  <pic:spPr>
                    <a:xfrm>
                      <a:off x="0" y="0"/>
                      <a:ext cx="7864120" cy="4457700"/>
                    </a:xfrm>
                    <a:prstGeom prst="rect">
                      <a:avLst/>
                    </a:prstGeom>
                  </pic:spPr>
                </pic:pic>
              </a:graphicData>
            </a:graphic>
          </wp:inline>
        </w:drawing>
      </w:r>
    </w:p>
    <w:p w14:paraId="4CCBC9B2" w14:textId="77777777" w:rsidR="00777A0D" w:rsidRDefault="00777A0D">
      <w:r>
        <w:br w:type="page"/>
      </w:r>
    </w:p>
    <w:p w14:paraId="4437DB05" w14:textId="77777777" w:rsidR="00EA61EE" w:rsidRDefault="00437FC9" w:rsidP="00777A0D">
      <w:r w:rsidRPr="00EA61EE">
        <w:rPr>
          <w:sz w:val="28"/>
          <w:szCs w:val="28"/>
        </w:rPr>
        <w:lastRenderedPageBreak/>
        <w:t xml:space="preserve">Figure </w:t>
      </w:r>
      <w:r w:rsidR="003253DA" w:rsidRPr="00EA61EE">
        <w:rPr>
          <w:sz w:val="28"/>
          <w:szCs w:val="28"/>
        </w:rPr>
        <w:t>2</w:t>
      </w:r>
      <w:r w:rsidRPr="00EA61EE">
        <w:rPr>
          <w:sz w:val="28"/>
          <w:szCs w:val="28"/>
        </w:rPr>
        <w:t xml:space="preserve">: </w:t>
      </w:r>
      <w:r w:rsidR="00C456CC" w:rsidRPr="00EA61EE">
        <w:rPr>
          <w:sz w:val="28"/>
          <w:szCs w:val="28"/>
        </w:rPr>
        <w:t>Measures of interconnectedness</w:t>
      </w:r>
      <w:r w:rsidR="003B14C9" w:rsidRPr="00EA61EE">
        <w:rPr>
          <w:sz w:val="28"/>
          <w:szCs w:val="28"/>
        </w:rPr>
        <w:t xml:space="preserve"> using monthly networks</w:t>
      </w:r>
      <w:r w:rsidR="003B14C9">
        <w:t xml:space="preserve"> </w:t>
      </w:r>
    </w:p>
    <w:p w14:paraId="4105A2BB" w14:textId="1EC0DF84" w:rsidR="00777A0D" w:rsidRDefault="00EA61EE" w:rsidP="00777A0D">
      <w:r>
        <w:t>(w</w:t>
      </w:r>
      <w:r w:rsidR="003B14C9">
        <w:t>ith statistics</w:t>
      </w:r>
      <w:r w:rsidR="00550AB5">
        <w:t xml:space="preserve"> smoothed using local polynomial regression</w:t>
      </w:r>
      <w:r>
        <w:t>)</w:t>
      </w:r>
    </w:p>
    <w:p w14:paraId="1040BD73" w14:textId="77777777" w:rsidR="00C456CC" w:rsidRDefault="00C456CC" w:rsidP="00777A0D"/>
    <w:tbl>
      <w:tblPr>
        <w:tblStyle w:val="TableGrid"/>
        <w:tblW w:w="0" w:type="auto"/>
        <w:tblLook w:val="04A0" w:firstRow="1" w:lastRow="0" w:firstColumn="1" w:lastColumn="0" w:noHBand="0" w:noVBand="1"/>
      </w:tblPr>
      <w:tblGrid>
        <w:gridCol w:w="12348"/>
      </w:tblGrid>
      <w:tr w:rsidR="00437FC9" w14:paraId="7601DBF9" w14:textId="77777777" w:rsidTr="00EA61EE">
        <w:trPr>
          <w:trHeight w:val="6920"/>
        </w:trPr>
        <w:tc>
          <w:tcPr>
            <w:tcW w:w="12348" w:type="dxa"/>
          </w:tcPr>
          <w:p w14:paraId="1EB08C44" w14:textId="77777777" w:rsidR="00437FC9" w:rsidRDefault="00C456CC" w:rsidP="00437FC9">
            <w:pPr>
              <w:jc w:val="center"/>
            </w:pPr>
            <w:r>
              <w:rPr>
                <w:noProof/>
              </w:rPr>
              <w:drawing>
                <wp:inline distT="0" distB="0" distL="0" distR="0" wp14:anchorId="5191F458" wp14:editId="033CE66E">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_stats_combined.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tc>
      </w:tr>
    </w:tbl>
    <w:p w14:paraId="4060E667" w14:textId="77777777" w:rsidR="00AC7B85" w:rsidRDefault="00AC7B85" w:rsidP="000D5945"/>
    <w:p w14:paraId="6103C7D1" w14:textId="77777777" w:rsidR="00584330" w:rsidRDefault="00584330" w:rsidP="00584330">
      <w:pPr>
        <w:sectPr w:rsidR="00584330" w:rsidSect="00915BB5">
          <w:footerReference w:type="default" r:id="rId18"/>
          <w:pgSz w:w="15840" w:h="12240" w:orient="landscape"/>
          <w:pgMar w:top="1440" w:right="1440" w:bottom="1440" w:left="1440" w:header="720" w:footer="720" w:gutter="0"/>
          <w:cols w:space="720"/>
          <w:titlePg/>
          <w:docGrid w:linePitch="360"/>
        </w:sectPr>
      </w:pPr>
    </w:p>
    <w:p w14:paraId="51F0A825" w14:textId="104C5F65" w:rsidR="00584330" w:rsidRPr="00AE57ED" w:rsidRDefault="00FB2D3F" w:rsidP="004324A1">
      <w:pPr>
        <w:jc w:val="center"/>
        <w:rPr>
          <w:rFonts w:ascii="Times New Roman" w:hAnsi="Times New Roman" w:cs="Times New Roman"/>
          <w:sz w:val="24"/>
          <w:szCs w:val="24"/>
        </w:rPr>
      </w:pPr>
      <w:r w:rsidRPr="00EA61EE">
        <w:rPr>
          <w:sz w:val="28"/>
          <w:szCs w:val="28"/>
        </w:rPr>
        <w:lastRenderedPageBreak/>
        <w:t xml:space="preserve">Figure </w:t>
      </w:r>
      <w:r>
        <w:rPr>
          <w:sz w:val="28"/>
          <w:szCs w:val="28"/>
        </w:rPr>
        <w:t>3</w:t>
      </w:r>
      <w:r w:rsidRPr="00EA61EE">
        <w:rPr>
          <w:sz w:val="28"/>
          <w:szCs w:val="28"/>
        </w:rPr>
        <w:t xml:space="preserve">: </w:t>
      </w:r>
      <w:r w:rsidRPr="00FB2D3F">
        <w:rPr>
          <w:sz w:val="28"/>
          <w:szCs w:val="28"/>
        </w:rPr>
        <w:t>Time-series of network statistics and corresponding graphs</w:t>
      </w:r>
    </w:p>
    <w:p w14:paraId="018A725C" w14:textId="77777777" w:rsidR="00584330" w:rsidRDefault="00584330"/>
    <w:p w14:paraId="3139BCA0" w14:textId="77777777" w:rsidR="00FB2D3F" w:rsidRDefault="00FB2D3F"/>
    <w:p w14:paraId="0F061E8B" w14:textId="78CE7ADB" w:rsidR="00FB2D3F" w:rsidRDefault="00FB2D3F" w:rsidP="00FB2D3F">
      <w:pPr>
        <w:jc w:val="center"/>
      </w:pPr>
      <w:r>
        <w:t>Correlation Network</w:t>
      </w:r>
    </w:p>
    <w:p w14:paraId="71942C55" w14:textId="1B1E9442" w:rsidR="00584330" w:rsidRDefault="00584330" w:rsidP="00584330">
      <w:pPr>
        <w:jc w:val="center"/>
      </w:pPr>
      <w:r w:rsidRPr="00AE57ED">
        <w:rPr>
          <w:rFonts w:ascii="Times New Roman" w:hAnsi="Times New Roman" w:cs="Times New Roman"/>
          <w:noProof/>
          <w:sz w:val="24"/>
          <w:szCs w:val="24"/>
        </w:rPr>
        <w:drawing>
          <wp:inline distT="0" distB="0" distL="0" distR="0" wp14:anchorId="7F2A633E" wp14:editId="6011BD65">
            <wp:extent cx="5275580" cy="312486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602" cy="3126653"/>
                    </a:xfrm>
                    <a:prstGeom prst="rect">
                      <a:avLst/>
                    </a:prstGeom>
                    <a:noFill/>
                  </pic:spPr>
                </pic:pic>
              </a:graphicData>
            </a:graphic>
          </wp:inline>
        </w:drawing>
      </w:r>
    </w:p>
    <w:p w14:paraId="3751E4F3" w14:textId="77777777" w:rsidR="00584330" w:rsidRDefault="00584330" w:rsidP="00584330">
      <w:pPr>
        <w:jc w:val="center"/>
      </w:pPr>
    </w:p>
    <w:p w14:paraId="2AD3077A" w14:textId="77777777" w:rsidR="00FB2D3F" w:rsidRDefault="00FB2D3F" w:rsidP="00584330">
      <w:pPr>
        <w:jc w:val="center"/>
      </w:pPr>
    </w:p>
    <w:p w14:paraId="422CC380" w14:textId="77777777" w:rsidR="00FB2D3F" w:rsidRDefault="00FB2D3F" w:rsidP="00584330">
      <w:pPr>
        <w:jc w:val="center"/>
      </w:pPr>
    </w:p>
    <w:p w14:paraId="4A54EEA0" w14:textId="244C24E3" w:rsidR="00FB2D3F" w:rsidRDefault="00FB2D3F" w:rsidP="00584330">
      <w:pPr>
        <w:jc w:val="center"/>
      </w:pPr>
      <w:r>
        <w:t>Physical Network</w:t>
      </w:r>
    </w:p>
    <w:p w14:paraId="7CD2A729" w14:textId="7A8A54EB" w:rsidR="00FB2D3F" w:rsidRDefault="00FB2D3F" w:rsidP="00584330">
      <w:pPr>
        <w:jc w:val="center"/>
      </w:pPr>
      <w:r w:rsidRPr="00AE57ED">
        <w:rPr>
          <w:rFonts w:ascii="Times New Roman" w:hAnsi="Times New Roman" w:cs="Times New Roman"/>
          <w:noProof/>
          <w:sz w:val="24"/>
          <w:szCs w:val="24"/>
        </w:rPr>
        <w:drawing>
          <wp:inline distT="0" distB="0" distL="0" distR="0" wp14:anchorId="27E8B26F" wp14:editId="251217EE">
            <wp:extent cx="5293303" cy="30533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1987" cy="3058310"/>
                    </a:xfrm>
                    <a:prstGeom prst="rect">
                      <a:avLst/>
                    </a:prstGeom>
                    <a:noFill/>
                  </pic:spPr>
                </pic:pic>
              </a:graphicData>
            </a:graphic>
          </wp:inline>
        </w:drawing>
      </w:r>
    </w:p>
    <w:p w14:paraId="3863D9EA" w14:textId="77777777" w:rsidR="00FB2D3F" w:rsidRDefault="00FB2D3F" w:rsidP="00584330">
      <w:pPr>
        <w:jc w:val="center"/>
      </w:pPr>
    </w:p>
    <w:p w14:paraId="69ABAFF6" w14:textId="77777777" w:rsidR="00FB2D3F" w:rsidRDefault="00FB2D3F" w:rsidP="00584330">
      <w:pPr>
        <w:jc w:val="center"/>
      </w:pPr>
    </w:p>
    <w:p w14:paraId="5997C426" w14:textId="77777777" w:rsidR="00584330" w:rsidRDefault="00584330" w:rsidP="00584330"/>
    <w:p w14:paraId="502A6BE2" w14:textId="77777777" w:rsidR="00584330" w:rsidRDefault="00584330" w:rsidP="00584330">
      <w:pPr>
        <w:sectPr w:rsidR="00584330" w:rsidSect="00915BB5">
          <w:footerReference w:type="default" r:id="rId21"/>
          <w:pgSz w:w="12240" w:h="15840"/>
          <w:pgMar w:top="1440" w:right="1440" w:bottom="1440" w:left="1440" w:header="720" w:footer="720" w:gutter="0"/>
          <w:cols w:space="720"/>
          <w:titlePg/>
          <w:docGrid w:linePitch="360"/>
        </w:sectPr>
      </w:pPr>
    </w:p>
    <w:p w14:paraId="7AAD689F" w14:textId="2B8B15EE" w:rsidR="0018684F" w:rsidRDefault="0018684F" w:rsidP="0018684F">
      <w:pPr>
        <w:rPr>
          <w:rFonts w:cs="Times New Roman"/>
          <w:sz w:val="28"/>
          <w:szCs w:val="28"/>
        </w:rPr>
      </w:pPr>
      <w:r w:rsidRPr="00EA61EE">
        <w:rPr>
          <w:sz w:val="28"/>
          <w:szCs w:val="28"/>
        </w:rPr>
        <w:lastRenderedPageBreak/>
        <w:t xml:space="preserve">Figure </w:t>
      </w:r>
      <w:r>
        <w:rPr>
          <w:sz w:val="28"/>
          <w:szCs w:val="28"/>
        </w:rPr>
        <w:t>4</w:t>
      </w:r>
      <w:r w:rsidRPr="00EA61EE">
        <w:rPr>
          <w:sz w:val="28"/>
          <w:szCs w:val="28"/>
        </w:rPr>
        <w:t>:</w:t>
      </w:r>
      <w:r w:rsidRPr="0018684F">
        <w:rPr>
          <w:sz w:val="28"/>
          <w:szCs w:val="28"/>
        </w:rPr>
        <w:t xml:space="preserve"> </w:t>
      </w:r>
      <w:r w:rsidRPr="0018684F">
        <w:rPr>
          <w:rFonts w:cs="Times New Roman"/>
          <w:sz w:val="28"/>
          <w:szCs w:val="28"/>
        </w:rPr>
        <w:t>Directed bank (node) centrality measures</w:t>
      </w:r>
      <w:r w:rsidR="004324A1">
        <w:rPr>
          <w:rFonts w:cs="Times New Roman"/>
          <w:sz w:val="28"/>
          <w:szCs w:val="28"/>
        </w:rPr>
        <w:t>,</w:t>
      </w:r>
      <w:r w:rsidRPr="0018684F">
        <w:rPr>
          <w:rFonts w:cs="Times New Roman"/>
          <w:sz w:val="28"/>
          <w:szCs w:val="28"/>
        </w:rPr>
        <w:t xml:space="preserve"> each trajectory corresponds to a different bank. Four different banks with interesting trajectories are colored.</w:t>
      </w:r>
    </w:p>
    <w:p w14:paraId="00F55549" w14:textId="77777777" w:rsidR="0018684F" w:rsidRDefault="0018684F" w:rsidP="0018684F">
      <w:pPr>
        <w:rPr>
          <w:rFonts w:cs="Times New Roman"/>
          <w:sz w:val="28"/>
          <w:szCs w:val="28"/>
        </w:rPr>
      </w:pPr>
    </w:p>
    <w:p w14:paraId="5ED574E2" w14:textId="11D518F1" w:rsidR="0018684F" w:rsidRPr="004324A1" w:rsidRDefault="004324A1" w:rsidP="004324A1">
      <w:pPr>
        <w:jc w:val="center"/>
        <w:rPr>
          <w:rFonts w:cs="Times New Roman"/>
        </w:rPr>
      </w:pPr>
      <w:r w:rsidRPr="004324A1">
        <w:rPr>
          <w:rFonts w:cs="Times New Roman"/>
        </w:rPr>
        <w:t>Correlation Network</w:t>
      </w:r>
    </w:p>
    <w:p w14:paraId="0EF4E1EE" w14:textId="508050D0" w:rsidR="0018684F" w:rsidRPr="004324A1" w:rsidRDefault="0018684F" w:rsidP="0018684F">
      <w:pPr>
        <w:jc w:val="center"/>
        <w:rPr>
          <w:rFonts w:ascii="Times New Roman" w:hAnsi="Times New Roman" w:cs="Times New Roman"/>
        </w:rPr>
      </w:pPr>
      <w:r w:rsidRPr="00AE57ED">
        <w:rPr>
          <w:rFonts w:ascii="Times New Roman" w:hAnsi="Times New Roman" w:cs="Times New Roman"/>
          <w:noProof/>
          <w:sz w:val="24"/>
          <w:szCs w:val="24"/>
        </w:rPr>
        <w:drawing>
          <wp:inline distT="0" distB="0" distL="0" distR="0" wp14:anchorId="65A914E0" wp14:editId="2292C2FF">
            <wp:extent cx="2938858" cy="2103120"/>
            <wp:effectExtent l="0" t="0" r="0" b="0"/>
            <wp:docPr id="6" name="Picture 6" descr="D:\Users\smankad\Dropbox\Projects\OFR-Presentation-Networks-2014\Annotated_Incoming_smoo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mankad\Dropbox\Projects\OFR-Presentation-Networks-2014\Annotated_Incoming_smooth.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8858" cy="2103120"/>
                    </a:xfrm>
                    <a:prstGeom prst="rect">
                      <a:avLst/>
                    </a:prstGeom>
                    <a:noFill/>
                    <a:ln>
                      <a:noFill/>
                    </a:ln>
                  </pic:spPr>
                </pic:pic>
              </a:graphicData>
            </a:graphic>
          </wp:inline>
        </w:drawing>
      </w:r>
      <w:r w:rsidRPr="00AE57ED">
        <w:rPr>
          <w:rFonts w:ascii="Times New Roman" w:hAnsi="Times New Roman" w:cs="Times New Roman"/>
          <w:noProof/>
          <w:sz w:val="24"/>
          <w:szCs w:val="24"/>
        </w:rPr>
        <w:drawing>
          <wp:inline distT="0" distB="0" distL="0" distR="0" wp14:anchorId="734F8082" wp14:editId="4C01ED31">
            <wp:extent cx="2942481" cy="2103120"/>
            <wp:effectExtent l="0" t="0" r="0" b="0"/>
            <wp:docPr id="7" name="Picture 7" descr="D:\Users\smankad\Dropbox\Projects\OFR-Presentation-Networks-2014\Annotated_Outgoing_smoo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smankad\Dropbox\Projects\OFR-Presentation-Networks-2014\Annotated_Outgoing_smooth.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2481" cy="2103120"/>
                    </a:xfrm>
                    <a:prstGeom prst="rect">
                      <a:avLst/>
                    </a:prstGeom>
                    <a:noFill/>
                    <a:ln>
                      <a:noFill/>
                    </a:ln>
                  </pic:spPr>
                </pic:pic>
              </a:graphicData>
            </a:graphic>
          </wp:inline>
        </w:drawing>
      </w:r>
    </w:p>
    <w:p w14:paraId="2483C9AD" w14:textId="77777777" w:rsidR="004324A1" w:rsidRPr="004324A1" w:rsidRDefault="004324A1" w:rsidP="0018684F">
      <w:pPr>
        <w:jc w:val="center"/>
        <w:rPr>
          <w:rFonts w:ascii="Times New Roman" w:hAnsi="Times New Roman" w:cs="Times New Roman"/>
        </w:rPr>
      </w:pPr>
    </w:p>
    <w:p w14:paraId="6EDCAD0A" w14:textId="77777777" w:rsidR="004324A1" w:rsidRPr="004324A1" w:rsidRDefault="004324A1" w:rsidP="0018684F">
      <w:pPr>
        <w:jc w:val="center"/>
        <w:rPr>
          <w:rFonts w:ascii="Times New Roman" w:hAnsi="Times New Roman" w:cs="Times New Roman"/>
        </w:rPr>
      </w:pPr>
    </w:p>
    <w:p w14:paraId="22E74581" w14:textId="1D623CDC" w:rsidR="004324A1" w:rsidRPr="004324A1" w:rsidRDefault="004324A1" w:rsidP="0018684F">
      <w:pPr>
        <w:jc w:val="center"/>
        <w:rPr>
          <w:rFonts w:ascii="Times New Roman" w:hAnsi="Times New Roman" w:cs="Times New Roman"/>
        </w:rPr>
      </w:pPr>
      <w:r w:rsidRPr="004324A1">
        <w:rPr>
          <w:rFonts w:ascii="Times New Roman" w:hAnsi="Times New Roman" w:cs="Times New Roman"/>
        </w:rPr>
        <w:t>Physical Network</w:t>
      </w:r>
    </w:p>
    <w:p w14:paraId="69938363" w14:textId="23C4D085" w:rsidR="0018684F" w:rsidRPr="00AE57ED" w:rsidRDefault="0018684F" w:rsidP="0018684F">
      <w:pPr>
        <w:jc w:val="center"/>
        <w:rPr>
          <w:rFonts w:ascii="Times New Roman" w:hAnsi="Times New Roman" w:cs="Times New Roman"/>
          <w:sz w:val="24"/>
          <w:szCs w:val="24"/>
        </w:rPr>
      </w:pPr>
      <w:r w:rsidRPr="00AE57ED">
        <w:rPr>
          <w:rFonts w:ascii="Times New Roman" w:hAnsi="Times New Roman" w:cs="Times New Roman"/>
          <w:noProof/>
          <w:sz w:val="24"/>
          <w:szCs w:val="24"/>
        </w:rPr>
        <w:drawing>
          <wp:inline distT="0" distB="0" distL="0" distR="0" wp14:anchorId="5B244EE5" wp14:editId="1AF3908B">
            <wp:extent cx="2938858" cy="2103120"/>
            <wp:effectExtent l="0" t="0" r="0" b="0"/>
            <wp:docPr id="5" name="Picture 5" descr="D:\Users\smankad\Dropbox\Projects\OFR-Presentation-Networks-2014\Annotated_Buyers_smoo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smankad\Dropbox\Projects\OFR-Presentation-Networks-2014\Annotated_Buyers_smooth.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8858" cy="2103120"/>
                    </a:xfrm>
                    <a:prstGeom prst="rect">
                      <a:avLst/>
                    </a:prstGeom>
                    <a:noFill/>
                    <a:ln>
                      <a:noFill/>
                    </a:ln>
                  </pic:spPr>
                </pic:pic>
              </a:graphicData>
            </a:graphic>
          </wp:inline>
        </w:drawing>
      </w:r>
      <w:r w:rsidRPr="00AE57ED">
        <w:rPr>
          <w:rFonts w:ascii="Times New Roman" w:hAnsi="Times New Roman" w:cs="Times New Roman"/>
          <w:noProof/>
          <w:sz w:val="24"/>
          <w:szCs w:val="24"/>
        </w:rPr>
        <w:drawing>
          <wp:inline distT="0" distB="0" distL="0" distR="0" wp14:anchorId="0CFCE6D0" wp14:editId="5D2F6385">
            <wp:extent cx="2938858" cy="2103120"/>
            <wp:effectExtent l="0" t="0" r="0" b="0"/>
            <wp:docPr id="8" name="Picture 8" descr="D:\Users\smankad\Dropbox\Projects\OFR-Presentation-Networks-2014\Annotated_Sellers_smoo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smankad\Dropbox\Projects\OFR-Presentation-Networks-2014\Annotated_Sellers_smooth.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8858" cy="2103120"/>
                    </a:xfrm>
                    <a:prstGeom prst="rect">
                      <a:avLst/>
                    </a:prstGeom>
                    <a:noFill/>
                    <a:ln>
                      <a:noFill/>
                    </a:ln>
                  </pic:spPr>
                </pic:pic>
              </a:graphicData>
            </a:graphic>
          </wp:inline>
        </w:drawing>
      </w:r>
    </w:p>
    <w:p w14:paraId="66E2E79A" w14:textId="3A8729ED" w:rsidR="0018684F" w:rsidRDefault="0018684F" w:rsidP="00EA61EE">
      <w:pPr>
        <w:jc w:val="center"/>
        <w:rPr>
          <w:sz w:val="28"/>
          <w:szCs w:val="28"/>
        </w:rPr>
      </w:pPr>
    </w:p>
    <w:p w14:paraId="6E602D0E" w14:textId="77777777" w:rsidR="0018684F" w:rsidRDefault="0018684F">
      <w:pPr>
        <w:rPr>
          <w:sz w:val="28"/>
          <w:szCs w:val="28"/>
        </w:rPr>
      </w:pPr>
      <w:r>
        <w:rPr>
          <w:sz w:val="28"/>
          <w:szCs w:val="28"/>
        </w:rPr>
        <w:br w:type="page"/>
      </w:r>
    </w:p>
    <w:p w14:paraId="76627749" w14:textId="77777777" w:rsidR="0018684F" w:rsidRDefault="0018684F" w:rsidP="00EA61EE">
      <w:pPr>
        <w:jc w:val="center"/>
        <w:rPr>
          <w:sz w:val="28"/>
          <w:szCs w:val="28"/>
        </w:rPr>
      </w:pPr>
    </w:p>
    <w:p w14:paraId="3856764A" w14:textId="265269AE" w:rsidR="003F41BF" w:rsidRDefault="003F41BF" w:rsidP="00EA61EE">
      <w:pPr>
        <w:jc w:val="center"/>
        <w:rPr>
          <w:sz w:val="28"/>
          <w:szCs w:val="28"/>
        </w:rPr>
      </w:pPr>
      <w:r w:rsidRPr="00EA61EE">
        <w:rPr>
          <w:sz w:val="28"/>
          <w:szCs w:val="28"/>
        </w:rPr>
        <w:t xml:space="preserve">Figure </w:t>
      </w:r>
      <w:r w:rsidR="004324A1">
        <w:rPr>
          <w:sz w:val="28"/>
          <w:szCs w:val="28"/>
        </w:rPr>
        <w:t>5</w:t>
      </w:r>
      <w:r w:rsidRPr="00EA61EE">
        <w:rPr>
          <w:sz w:val="28"/>
          <w:szCs w:val="28"/>
        </w:rPr>
        <w:t>: R</w:t>
      </w:r>
      <w:r w:rsidR="00EA61EE" w:rsidRPr="00EA61EE">
        <w:rPr>
          <w:sz w:val="28"/>
          <w:szCs w:val="28"/>
          <w:vertAlign w:val="superscript"/>
        </w:rPr>
        <w:t>2</w:t>
      </w:r>
      <w:r w:rsidRPr="00EA61EE">
        <w:rPr>
          <w:sz w:val="28"/>
          <w:szCs w:val="28"/>
        </w:rPr>
        <w:t xml:space="preserve"> for the regressions</w:t>
      </w:r>
      <w:r w:rsidR="00DC43E6" w:rsidRPr="00EA61EE">
        <w:rPr>
          <w:sz w:val="28"/>
          <w:szCs w:val="28"/>
        </w:rPr>
        <w:t xml:space="preserve"> in </w:t>
      </w:r>
      <w:r w:rsidR="00EA61EE" w:rsidRPr="00EA61EE">
        <w:rPr>
          <w:sz w:val="28"/>
          <w:szCs w:val="28"/>
        </w:rPr>
        <w:t>Equation (12)</w:t>
      </w:r>
    </w:p>
    <w:p w14:paraId="546C6F4D" w14:textId="77777777" w:rsidR="00EA61EE" w:rsidRPr="00EA61EE" w:rsidRDefault="00EA61EE" w:rsidP="00EA61EE">
      <w:pPr>
        <w:jc w:val="center"/>
        <w:rPr>
          <w:sz w:val="28"/>
          <w:szCs w:val="28"/>
        </w:rPr>
      </w:pPr>
    </w:p>
    <w:p w14:paraId="23722CA9" w14:textId="5E797776" w:rsidR="00EA61EE" w:rsidRDefault="00851398" w:rsidP="00EA61EE">
      <w:pPr>
        <w:rPr>
          <w:rFonts w:ascii="Century" w:eastAsiaTheme="minorEastAsia" w:hAnsi="Century"/>
          <w:sz w:val="24"/>
          <w:szCs w:val="24"/>
        </w:rPr>
      </w:pPr>
      <m:oMathPara>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t+k</m:t>
              </m:r>
            </m:sub>
          </m:sSub>
          <m:r>
            <w:rPr>
              <w:rFonts w:ascii="Cambria Math" w:hAnsi="Cambria Math"/>
              <w:sz w:val="24"/>
              <w:szCs w:val="24"/>
            </w:rPr>
            <m:t xml:space="preserve">=α+ </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3</m:t>
              </m:r>
            </m:sub>
          </m:sSub>
          <m:r>
            <w:rPr>
              <w:rFonts w:ascii="Cambria Math" w:hAnsi="Cambria Math"/>
              <w:sz w:val="24"/>
              <w:szCs w:val="24"/>
            </w:rPr>
            <m:t>DJS</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4</m:t>
              </m:r>
            </m:sub>
          </m:sSub>
          <m:sSub>
            <m:sSubPr>
              <m:ctrlPr>
                <w:rPr>
                  <w:rFonts w:ascii="Cambria Math" w:hAnsi="Cambria Math"/>
                  <w:i/>
                  <w:sz w:val="24"/>
                  <w:szCs w:val="24"/>
                </w:rPr>
              </m:ctrlPr>
            </m:sSubPr>
            <m:e>
              <m:r>
                <w:rPr>
                  <w:rFonts w:ascii="Cambria Math" w:hAnsi="Cambria Math"/>
                  <w:sz w:val="24"/>
                  <w:szCs w:val="24"/>
                </w:rPr>
                <m:t>EONIA</m:t>
              </m:r>
            </m:e>
            <m:sub>
              <m:r>
                <w:rPr>
                  <w:rFonts w:ascii="Cambria Math" w:hAnsi="Cambria Math"/>
                  <w:sz w:val="24"/>
                  <w:szCs w:val="24"/>
                </w:rPr>
                <m:t>t</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5</m:t>
              </m:r>
            </m:sub>
          </m:sSub>
          <m:r>
            <w:rPr>
              <w:rFonts w:ascii="Cambria Math" w:hAnsi="Cambria Math"/>
              <w:sz w:val="24"/>
              <w:szCs w:val="24"/>
            </w:rPr>
            <m:t>LTR</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t</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6</m:t>
              </m:r>
            </m:sub>
          </m:sSub>
          <m:r>
            <w:rPr>
              <w:rFonts w:ascii="Cambria Math" w:hAnsi="Cambria Math"/>
              <w:sz w:val="24"/>
              <w:szCs w:val="24"/>
            </w:rPr>
            <m:t>MR</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t</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7</m:t>
              </m:r>
            </m:sub>
          </m:sSub>
          <m:r>
            <w:rPr>
              <w:rFonts w:ascii="Cambria Math" w:hAnsi="Cambria Math"/>
              <w:sz w:val="24"/>
              <w:szCs w:val="24"/>
            </w:rPr>
            <m:t>O</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m:t>
              </m:r>
            </m:sub>
          </m:sSub>
          <m:r>
            <w:rPr>
              <w:rFonts w:ascii="Cambria Math" w:hAnsi="Cambria Math"/>
              <w:sz w:val="24"/>
              <w:szCs w:val="24"/>
            </w:rPr>
            <m:t>+γ</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t</m:t>
              </m:r>
            </m:sub>
          </m:sSub>
        </m:oMath>
      </m:oMathPara>
    </w:p>
    <w:p w14:paraId="3D9F19F5" w14:textId="795522BC" w:rsidR="00EA61EE" w:rsidRPr="00EA61EE" w:rsidRDefault="00EA61EE" w:rsidP="00EA61EE">
      <w:pPr>
        <w:rPr>
          <w:sz w:val="20"/>
          <w:szCs w:val="20"/>
        </w:rPr>
      </w:pPr>
      <w:r w:rsidRPr="00EA61EE">
        <w:rPr>
          <w:rFonts w:ascii="Century" w:hAnsi="Century"/>
          <w:sz w:val="20"/>
          <w:szCs w:val="20"/>
        </w:rPr>
        <w:t xml:space="preserve">where </w:t>
      </w: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t+k</m:t>
            </m:r>
          </m:sub>
        </m:sSub>
      </m:oMath>
      <w:r w:rsidRPr="00EA61EE">
        <w:rPr>
          <w:rFonts w:ascii="Century" w:eastAsiaTheme="minorEastAsia" w:hAnsi="Century"/>
          <w:sz w:val="20"/>
          <w:szCs w:val="20"/>
        </w:rPr>
        <w:t xml:space="preserve"> represents network statistics </w:t>
      </w:r>
      <w:r w:rsidR="000E16A0">
        <w:rPr>
          <w:rFonts w:ascii="Century" w:eastAsiaTheme="minorEastAsia" w:hAnsi="Century"/>
          <w:sz w:val="20"/>
          <w:szCs w:val="20"/>
        </w:rPr>
        <w:t>(closeness, clustering coefficient, degree and LSCC)</w:t>
      </w:r>
      <w:r w:rsidRPr="00EA61EE">
        <w:rPr>
          <w:rFonts w:ascii="Century" w:eastAsiaTheme="minorEastAsia" w:hAnsi="Century"/>
          <w:sz w:val="20"/>
          <w:szCs w:val="20"/>
        </w:rPr>
        <w:t xml:space="preserve">, </w:t>
      </w: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t</m:t>
            </m:r>
          </m:sub>
        </m:sSub>
      </m:oMath>
      <w:r w:rsidRPr="00EA61EE">
        <w:rPr>
          <w:rFonts w:ascii="Century" w:eastAsiaTheme="minorEastAsia" w:hAnsi="Century"/>
          <w:sz w:val="20"/>
          <w:szCs w:val="20"/>
        </w:rPr>
        <w:t xml:space="preserve"> is economic uncertainty</w:t>
      </w:r>
      <w:r w:rsidR="000E16A0">
        <w:rPr>
          <w:rFonts w:ascii="Century" w:eastAsiaTheme="minorEastAsia" w:hAnsi="Century"/>
          <w:sz w:val="20"/>
          <w:szCs w:val="20"/>
        </w:rPr>
        <w:t xml:space="preserve"> index,</w:t>
      </w:r>
      <w:r w:rsidRPr="00EA61EE">
        <w:rPr>
          <w:rFonts w:ascii="Century" w:eastAsiaTheme="minorEastAsia" w:hAnsi="Century"/>
          <w:sz w:val="20"/>
          <w:szCs w:val="20"/>
        </w:rPr>
        <w:t xml:space="preserve"> </w:t>
      </w:r>
      <m:oMath>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t</m:t>
            </m:r>
          </m:sub>
        </m:sSub>
      </m:oMath>
      <w:r w:rsidRPr="00EA61EE">
        <w:rPr>
          <w:rFonts w:ascii="Century" w:eastAsiaTheme="minorEastAsia" w:hAnsi="Century"/>
          <w:sz w:val="20"/>
          <w:szCs w:val="20"/>
        </w:rPr>
        <w:t xml:space="preserve"> </w:t>
      </w:r>
      <w:r w:rsidR="000E16A0">
        <w:rPr>
          <w:rFonts w:ascii="Century" w:eastAsiaTheme="minorEastAsia" w:hAnsi="Century"/>
          <w:sz w:val="20"/>
          <w:szCs w:val="20"/>
        </w:rPr>
        <w:t xml:space="preserve">is </w:t>
      </w:r>
      <w:r w:rsidRPr="00EA61EE">
        <w:rPr>
          <w:rFonts w:ascii="Century" w:eastAsiaTheme="minorEastAsia" w:hAnsi="Century"/>
          <w:sz w:val="20"/>
          <w:szCs w:val="20"/>
        </w:rPr>
        <w:t xml:space="preserve">the economic surprise </w:t>
      </w:r>
      <w:r w:rsidR="000E16A0">
        <w:rPr>
          <w:rFonts w:ascii="Century" w:eastAsiaTheme="minorEastAsia" w:hAnsi="Century"/>
          <w:sz w:val="20"/>
          <w:szCs w:val="20"/>
        </w:rPr>
        <w:t xml:space="preserve">index (see, </w:t>
      </w:r>
      <w:r w:rsidRPr="00EA61EE">
        <w:rPr>
          <w:rFonts w:ascii="Century" w:eastAsiaTheme="minorEastAsia" w:hAnsi="Century"/>
          <w:sz w:val="20"/>
          <w:szCs w:val="20"/>
        </w:rPr>
        <w:t>Scotti (2013)</w:t>
      </w:r>
      <w:r w:rsidR="000E16A0">
        <w:rPr>
          <w:rFonts w:ascii="Century" w:eastAsiaTheme="minorEastAsia" w:hAnsi="Century"/>
          <w:sz w:val="20"/>
          <w:szCs w:val="20"/>
        </w:rPr>
        <w:t>)</w:t>
      </w:r>
      <w:r w:rsidRPr="00EA61EE">
        <w:rPr>
          <w:rFonts w:ascii="Century" w:eastAsiaTheme="minorEastAsia" w:hAnsi="Century"/>
          <w:sz w:val="20"/>
          <w:szCs w:val="20"/>
        </w:rPr>
        <w:t>,</w:t>
      </w:r>
      <m:oMath>
        <m:r>
          <w:rPr>
            <w:rFonts w:ascii="Cambria Math" w:hAnsi="Cambria Math"/>
            <w:sz w:val="20"/>
            <w:szCs w:val="20"/>
          </w:rPr>
          <m:t xml:space="preserve"> DJS</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t</m:t>
            </m:r>
          </m:sub>
        </m:sSub>
      </m:oMath>
      <w:r w:rsidRPr="00EA61EE">
        <w:rPr>
          <w:rFonts w:ascii="Century" w:eastAsiaTheme="minorEastAsia" w:hAnsi="Century"/>
          <w:sz w:val="20"/>
          <w:szCs w:val="20"/>
        </w:rPr>
        <w:t xml:space="preserve"> is the DJ Europe stock index, </w:t>
      </w:r>
      <m:oMath>
        <m:sSub>
          <m:sSubPr>
            <m:ctrlPr>
              <w:rPr>
                <w:rFonts w:ascii="Cambria Math" w:hAnsi="Cambria Math"/>
                <w:i/>
                <w:sz w:val="20"/>
                <w:szCs w:val="20"/>
              </w:rPr>
            </m:ctrlPr>
          </m:sSubPr>
          <m:e>
            <m:r>
              <w:rPr>
                <w:rFonts w:ascii="Cambria Math" w:hAnsi="Cambria Math"/>
                <w:sz w:val="20"/>
                <w:szCs w:val="20"/>
              </w:rPr>
              <m:t>EONIA</m:t>
            </m:r>
          </m:e>
          <m:sub>
            <m:r>
              <w:rPr>
                <w:rFonts w:ascii="Cambria Math" w:hAnsi="Cambria Math"/>
                <w:sz w:val="20"/>
                <w:szCs w:val="20"/>
              </w:rPr>
              <m:t>t</m:t>
            </m:r>
          </m:sub>
        </m:sSub>
      </m:oMath>
      <w:r w:rsidRPr="00EA61EE">
        <w:rPr>
          <w:rFonts w:ascii="Century" w:eastAsiaTheme="minorEastAsia" w:hAnsi="Century"/>
          <w:sz w:val="20"/>
          <w:szCs w:val="20"/>
        </w:rPr>
        <w:t xml:space="preserve"> is the libor, </w:t>
      </w:r>
      <m:oMath>
        <m:r>
          <w:rPr>
            <w:rFonts w:ascii="Cambria Math" w:hAnsi="Cambria Math"/>
            <w:sz w:val="20"/>
            <w:szCs w:val="20"/>
          </w:rPr>
          <m:t>LTR</m:t>
        </m:r>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t</m:t>
            </m:r>
          </m:sub>
        </m:sSub>
      </m:oMath>
      <w:r w:rsidRPr="00EA61EE">
        <w:rPr>
          <w:rFonts w:ascii="Century" w:eastAsiaTheme="minorEastAsia" w:hAnsi="Century"/>
          <w:sz w:val="20"/>
          <w:szCs w:val="20"/>
        </w:rPr>
        <w:t xml:space="preserve"> is a dummy for ECB </w:t>
      </w:r>
      <w:r w:rsidRPr="00EA61EE">
        <w:rPr>
          <w:sz w:val="20"/>
          <w:szCs w:val="20"/>
        </w:rPr>
        <w:t>Long Term Refinancing Operations announcements</w:t>
      </w:r>
      <w:r w:rsidRPr="00EA61EE">
        <w:rPr>
          <w:rFonts w:ascii="Century" w:eastAsiaTheme="minorEastAsia" w:hAnsi="Century"/>
          <w:sz w:val="20"/>
          <w:szCs w:val="20"/>
        </w:rPr>
        <w:t xml:space="preserve">, </w:t>
      </w:r>
      <m:oMath>
        <m:r>
          <w:rPr>
            <w:rFonts w:ascii="Cambria Math" w:hAnsi="Cambria Math"/>
            <w:sz w:val="20"/>
            <w:szCs w:val="20"/>
          </w:rPr>
          <m:t>MR</m:t>
        </m:r>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t</m:t>
            </m:r>
          </m:sub>
        </m:sSub>
      </m:oMath>
      <w:r w:rsidRPr="00EA61EE">
        <w:rPr>
          <w:rFonts w:ascii="Century" w:eastAsiaTheme="minorEastAsia" w:hAnsi="Century"/>
          <w:sz w:val="20"/>
          <w:szCs w:val="20"/>
        </w:rPr>
        <w:t xml:space="preserve"> is a dummy for ECB </w:t>
      </w:r>
      <w:r w:rsidRPr="00EA61EE">
        <w:rPr>
          <w:sz w:val="20"/>
          <w:szCs w:val="20"/>
        </w:rPr>
        <w:t>Main Refinancing Operations</w:t>
      </w:r>
      <w:r w:rsidRPr="00EA61EE">
        <w:rPr>
          <w:rFonts w:ascii="Century" w:eastAsiaTheme="minorEastAsia" w:hAnsi="Century"/>
          <w:sz w:val="20"/>
          <w:szCs w:val="20"/>
        </w:rPr>
        <w:t xml:space="preserve">, and </w:t>
      </w:r>
      <m:oMath>
        <m:r>
          <w:rPr>
            <w:rFonts w:ascii="Cambria Math" w:hAnsi="Cambria Math"/>
            <w:sz w:val="20"/>
            <w:szCs w:val="20"/>
          </w:rPr>
          <m:t>O</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t</m:t>
            </m:r>
          </m:sub>
        </m:sSub>
      </m:oMath>
      <w:r w:rsidRPr="00EA61EE">
        <w:rPr>
          <w:rFonts w:ascii="Century" w:eastAsiaTheme="minorEastAsia" w:hAnsi="Century"/>
          <w:sz w:val="20"/>
          <w:szCs w:val="20"/>
        </w:rPr>
        <w:t xml:space="preserve"> is a dummy for Other Type </w:t>
      </w:r>
      <w:r w:rsidRPr="00EA61EE">
        <w:rPr>
          <w:rFonts w:eastAsiaTheme="minorEastAsia"/>
          <w:sz w:val="20"/>
          <w:szCs w:val="20"/>
        </w:rPr>
        <w:t>of ECB operations.</w:t>
      </w:r>
    </w:p>
    <w:p w14:paraId="6804BB9D" w14:textId="77777777" w:rsidR="003F41BF" w:rsidRDefault="003F41BF" w:rsidP="00FB2D3F">
      <w:pPr>
        <w:jc w:val="center"/>
      </w:pPr>
      <w:r>
        <w:rPr>
          <w:noProof/>
        </w:rPr>
        <w:drawing>
          <wp:inline distT="0" distB="0" distL="0" distR="0" wp14:anchorId="189E61DC" wp14:editId="5BD2C062">
            <wp:extent cx="3997193" cy="3997193"/>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q_ar1_LSCC.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97193" cy="3997193"/>
                    </a:xfrm>
                    <a:prstGeom prst="rect">
                      <a:avLst/>
                    </a:prstGeom>
                  </pic:spPr>
                </pic:pic>
              </a:graphicData>
            </a:graphic>
          </wp:inline>
        </w:drawing>
      </w:r>
    </w:p>
    <w:p w14:paraId="0F8C8BCD" w14:textId="77777777" w:rsidR="00EA61EE" w:rsidRDefault="00EA61EE">
      <w:pPr>
        <w:sectPr w:rsidR="00EA61EE" w:rsidSect="00537A20">
          <w:pgSz w:w="15840" w:h="12240" w:orient="landscape"/>
          <w:pgMar w:top="1440" w:right="1440" w:bottom="1440" w:left="1440" w:header="720" w:footer="720" w:gutter="0"/>
          <w:cols w:space="720"/>
          <w:titlePg/>
          <w:docGrid w:linePitch="360"/>
        </w:sectPr>
      </w:pPr>
    </w:p>
    <w:p w14:paraId="6CD6FBA3" w14:textId="3DA57529" w:rsidR="001C3CA2" w:rsidRDefault="001C3CA2"/>
    <w:p w14:paraId="2C78240D" w14:textId="03BCF85B" w:rsidR="00EA61EE" w:rsidRDefault="001C3CA2" w:rsidP="00EA61EE">
      <w:pPr>
        <w:jc w:val="center"/>
        <w:rPr>
          <w:sz w:val="28"/>
          <w:szCs w:val="28"/>
        </w:rPr>
      </w:pPr>
      <w:r w:rsidRPr="00EA61EE">
        <w:rPr>
          <w:sz w:val="28"/>
          <w:szCs w:val="28"/>
        </w:rPr>
        <w:t xml:space="preserve">Figure </w:t>
      </w:r>
      <w:r w:rsidR="004324A1">
        <w:rPr>
          <w:sz w:val="28"/>
          <w:szCs w:val="28"/>
        </w:rPr>
        <w:t>6</w:t>
      </w:r>
      <w:r w:rsidRPr="00EA61EE">
        <w:rPr>
          <w:sz w:val="28"/>
          <w:szCs w:val="28"/>
        </w:rPr>
        <w:t xml:space="preserve">: Estimated coefficients </w:t>
      </w:r>
      <w:r w:rsidR="00317597" w:rsidRPr="00EA61EE">
        <w:rPr>
          <w:sz w:val="28"/>
          <w:szCs w:val="28"/>
        </w:rPr>
        <w:t xml:space="preserve">from the </w:t>
      </w:r>
      <w:r w:rsidR="00AC3D79" w:rsidRPr="00EA61EE">
        <w:rPr>
          <w:sz w:val="28"/>
          <w:szCs w:val="28"/>
        </w:rPr>
        <w:t xml:space="preserve">regressions in </w:t>
      </w:r>
      <w:r w:rsidR="00EA61EE">
        <w:rPr>
          <w:sz w:val="28"/>
          <w:szCs w:val="28"/>
        </w:rPr>
        <w:t>Equation (12)</w:t>
      </w:r>
    </w:p>
    <w:p w14:paraId="2956C47A" w14:textId="26958425" w:rsidR="001C3CA2" w:rsidRDefault="00317597" w:rsidP="00EA61EE">
      <w:pPr>
        <w:jc w:val="center"/>
      </w:pPr>
      <w:r>
        <w:t>The left panel shows estimated coefficients for the correlation network and the right panel shows estimated coefficients for the physical network.</w:t>
      </w:r>
      <w:r w:rsidR="00EB54F3">
        <w:t xml:space="preserve"> All variables have been normalized.</w:t>
      </w:r>
    </w:p>
    <w:p w14:paraId="09D33E46" w14:textId="77777777" w:rsidR="00EA61EE" w:rsidRDefault="00EA61EE" w:rsidP="00EA61EE"/>
    <w:p w14:paraId="00D58C27" w14:textId="2A00148F" w:rsidR="006C7EB1" w:rsidRDefault="006C7EB1" w:rsidP="00EA61EE">
      <w:pPr>
        <w:jc w:val="center"/>
      </w:pPr>
    </w:p>
    <w:p w14:paraId="1E3C8692" w14:textId="3C3FEB35" w:rsidR="00B734B6" w:rsidRDefault="00B734B6" w:rsidP="00EA61EE">
      <w:pPr>
        <w:jc w:val="center"/>
      </w:pPr>
      <w:r>
        <w:rPr>
          <w:noProof/>
        </w:rPr>
        <w:drawing>
          <wp:inline distT="0" distB="0" distL="0" distR="0" wp14:anchorId="76199333" wp14:editId="4E310642">
            <wp:extent cx="2926079" cy="438912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Betas_correlati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26079" cy="4389120"/>
                    </a:xfrm>
                    <a:prstGeom prst="rect">
                      <a:avLst/>
                    </a:prstGeom>
                  </pic:spPr>
                </pic:pic>
              </a:graphicData>
            </a:graphic>
          </wp:inline>
        </w:drawing>
      </w:r>
      <w:r>
        <w:rPr>
          <w:noProof/>
        </w:rPr>
        <w:drawing>
          <wp:inline distT="0" distB="0" distL="0" distR="0" wp14:anchorId="7B2F2345" wp14:editId="5A691828">
            <wp:extent cx="2926079" cy="438912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Betas_physical.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26079" cy="4389120"/>
                    </a:xfrm>
                    <a:prstGeom prst="rect">
                      <a:avLst/>
                    </a:prstGeom>
                  </pic:spPr>
                </pic:pic>
              </a:graphicData>
            </a:graphic>
          </wp:inline>
        </w:drawing>
      </w:r>
    </w:p>
    <w:p w14:paraId="6F5FEBA0" w14:textId="0839EDE5" w:rsidR="001C3CA2" w:rsidRDefault="001C3CA2">
      <w:r>
        <w:br w:type="page"/>
      </w:r>
    </w:p>
    <w:p w14:paraId="373FFD1C" w14:textId="546725DA" w:rsidR="00890EA4" w:rsidRPr="002112F2" w:rsidRDefault="00890EA4" w:rsidP="002112F2">
      <w:pPr>
        <w:jc w:val="center"/>
        <w:rPr>
          <w:sz w:val="28"/>
          <w:szCs w:val="28"/>
        </w:rPr>
      </w:pPr>
      <w:r w:rsidRPr="002112F2">
        <w:rPr>
          <w:sz w:val="28"/>
          <w:szCs w:val="28"/>
        </w:rPr>
        <w:lastRenderedPageBreak/>
        <w:t>Figure 7: P</w:t>
      </w:r>
      <w:r>
        <w:rPr>
          <w:sz w:val="28"/>
          <w:szCs w:val="28"/>
        </w:rPr>
        <w:t>artial R</w:t>
      </w:r>
      <w:r w:rsidRPr="002112F2">
        <w:rPr>
          <w:sz w:val="28"/>
          <w:szCs w:val="28"/>
          <w:vertAlign w:val="superscript"/>
        </w:rPr>
        <w:t>2</w:t>
      </w:r>
      <w:r>
        <w:rPr>
          <w:sz w:val="28"/>
          <w:szCs w:val="28"/>
        </w:rPr>
        <w:t xml:space="preserve"> </w:t>
      </w:r>
      <w:r w:rsidRPr="002112F2">
        <w:rPr>
          <w:sz w:val="28"/>
          <w:szCs w:val="28"/>
        </w:rPr>
        <w:t>values from the regressions in Equation (12)</w:t>
      </w:r>
    </w:p>
    <w:p w14:paraId="6A8D6F39" w14:textId="13FD8813" w:rsidR="00890EA4" w:rsidRDefault="00890EA4" w:rsidP="002112F2">
      <w:pPr>
        <w:jc w:val="center"/>
      </w:pPr>
      <w:r>
        <w:t xml:space="preserve">The left panel shows the </w:t>
      </w:r>
      <w:r>
        <w:t>p</w:t>
      </w:r>
      <w:r w:rsidRPr="00890EA4">
        <w:t xml:space="preserve">artial R2 values </w:t>
      </w:r>
      <w:r>
        <w:t xml:space="preserve">for the </w:t>
      </w:r>
      <w:r>
        <w:t xml:space="preserve">regressions of central banks announcements conditional on </w:t>
      </w:r>
      <w:r>
        <w:t xml:space="preserve">macro shocks </w:t>
      </w:r>
      <w:r>
        <w:t xml:space="preserve">on </w:t>
      </w:r>
      <w:r>
        <w:t xml:space="preserve">the network structure. </w:t>
      </w:r>
    </w:p>
    <w:p w14:paraId="04E93A16" w14:textId="77777777" w:rsidR="00890EA4" w:rsidRDefault="00890EA4" w:rsidP="002112F2">
      <w:pPr>
        <w:jc w:val="center"/>
      </w:pPr>
    </w:p>
    <w:p w14:paraId="59463647" w14:textId="1FAAC66D" w:rsidR="00890EA4" w:rsidRDefault="00890EA4" w:rsidP="002112F2">
      <w:pPr>
        <w:jc w:val="center"/>
      </w:pPr>
      <w:r>
        <w:rPr>
          <w:noProof/>
        </w:rPr>
        <w:drawing>
          <wp:inline distT="0" distB="0" distL="0" distR="0" wp14:anchorId="758AFA5F" wp14:editId="66133D5A">
            <wp:extent cx="4572009" cy="45720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ialRsq_ar1_AnnouncementsGivenMacro.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2009" cy="4572009"/>
                    </a:xfrm>
                    <a:prstGeom prst="rect">
                      <a:avLst/>
                    </a:prstGeom>
                  </pic:spPr>
                </pic:pic>
              </a:graphicData>
            </a:graphic>
          </wp:inline>
        </w:drawing>
      </w:r>
      <w:r>
        <w:br w:type="page"/>
      </w:r>
    </w:p>
    <w:p w14:paraId="541C7F10" w14:textId="77777777" w:rsidR="003F41BF" w:rsidRDefault="003F41BF"/>
    <w:p w14:paraId="1815B0F4" w14:textId="2991E5AE" w:rsidR="00EA61EE" w:rsidRPr="00EA61EE" w:rsidRDefault="000D5945" w:rsidP="00EA61EE">
      <w:pPr>
        <w:jc w:val="center"/>
        <w:rPr>
          <w:sz w:val="28"/>
          <w:szCs w:val="28"/>
        </w:rPr>
      </w:pPr>
      <w:r w:rsidRPr="00EA61EE">
        <w:rPr>
          <w:sz w:val="28"/>
          <w:szCs w:val="28"/>
        </w:rPr>
        <w:t xml:space="preserve">Figure </w:t>
      </w:r>
      <w:r w:rsidR="001F7327">
        <w:rPr>
          <w:sz w:val="28"/>
          <w:szCs w:val="28"/>
        </w:rPr>
        <w:t>8</w:t>
      </w:r>
      <w:r w:rsidRPr="00EA61EE">
        <w:rPr>
          <w:sz w:val="28"/>
          <w:szCs w:val="28"/>
        </w:rPr>
        <w:t xml:space="preserve">: </w:t>
      </w:r>
      <w:r w:rsidR="00B84CA8" w:rsidRPr="00EA61EE">
        <w:rPr>
          <w:sz w:val="28"/>
          <w:szCs w:val="28"/>
        </w:rPr>
        <w:t xml:space="preserve">P-values from F-Tests for the </w:t>
      </w:r>
      <w:r w:rsidR="00C33FD8" w:rsidRPr="00EA61EE">
        <w:rPr>
          <w:sz w:val="28"/>
          <w:szCs w:val="28"/>
        </w:rPr>
        <w:t xml:space="preserve">regressions in </w:t>
      </w:r>
      <w:r w:rsidR="00EA61EE">
        <w:rPr>
          <w:sz w:val="28"/>
          <w:szCs w:val="28"/>
        </w:rPr>
        <w:t>Equation (12)</w:t>
      </w:r>
    </w:p>
    <w:p w14:paraId="22333E0B" w14:textId="1673CFDC" w:rsidR="000D5945" w:rsidRDefault="00B84CA8" w:rsidP="00EA61EE">
      <w:pPr>
        <w:jc w:val="center"/>
        <w:rPr>
          <w:rFonts w:eastAsiaTheme="minorEastAsia"/>
        </w:rPr>
      </w:pPr>
      <w:r>
        <w:t xml:space="preserve">The left panel shows the p-value for the test statistic corresponding to the null hypothesis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m:t>
            </m:r>
          </m:sub>
        </m:sSub>
        <m:r>
          <w:rPr>
            <w:rFonts w:ascii="Cambria Math" w:hAnsi="Cambria Math"/>
          </w:rPr>
          <m:t>=0</m:t>
        </m:r>
      </m:oMath>
      <w:r w:rsidR="00880B4A">
        <w:rPr>
          <w:rFonts w:eastAsiaTheme="minorEastAsia"/>
        </w:rPr>
        <w:t xml:space="preserve"> – macro shocks do not affect</w:t>
      </w:r>
      <w:r>
        <w:rPr>
          <w:rFonts w:eastAsiaTheme="minorEastAsia"/>
        </w:rPr>
        <w:t xml:space="preserve"> </w:t>
      </w:r>
      <w:r w:rsidR="00880B4A">
        <w:rPr>
          <w:rFonts w:eastAsiaTheme="minorEastAsia"/>
        </w:rPr>
        <w:t xml:space="preserve">the network structure. </w:t>
      </w:r>
      <w:r>
        <w:rPr>
          <w:rFonts w:eastAsiaTheme="minorEastAsia"/>
        </w:rPr>
        <w:t>The right panel shows the p-value for the test-statistic correspond</w:t>
      </w:r>
      <w:r w:rsidR="00880B4A">
        <w:rPr>
          <w:rFonts w:eastAsiaTheme="minorEastAsia"/>
        </w:rPr>
        <w:t xml:space="preserve">ing </w:t>
      </w:r>
      <w:r>
        <w:rPr>
          <w:rFonts w:eastAsiaTheme="minorEastAsia"/>
        </w:rPr>
        <w:t xml:space="preserve">to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7</m:t>
            </m:r>
          </m:sub>
        </m:sSub>
        <m:r>
          <w:rPr>
            <w:rFonts w:ascii="Cambria Math" w:hAnsi="Cambria Math"/>
          </w:rPr>
          <m:t>=0</m:t>
        </m:r>
      </m:oMath>
      <w:r w:rsidR="00880B4A">
        <w:rPr>
          <w:rFonts w:eastAsiaTheme="minorEastAsia"/>
        </w:rPr>
        <w:t xml:space="preserve"> –ECB</w:t>
      </w:r>
      <w:r w:rsidR="00C13B42">
        <w:rPr>
          <w:rFonts w:eastAsiaTheme="minorEastAsia"/>
        </w:rPr>
        <w:t xml:space="preserve"> interventions</w:t>
      </w:r>
      <w:r w:rsidR="00880B4A">
        <w:rPr>
          <w:rFonts w:eastAsiaTheme="minorEastAsia"/>
        </w:rPr>
        <w:t xml:space="preserve"> do not affect the network structure.</w:t>
      </w:r>
    </w:p>
    <w:p w14:paraId="16ABC8FA" w14:textId="77777777" w:rsidR="00C13B42" w:rsidRDefault="00C13B42" w:rsidP="00EA61EE">
      <w:pPr>
        <w:jc w:val="center"/>
      </w:pPr>
    </w:p>
    <w:p w14:paraId="5C8B03A8" w14:textId="28184123" w:rsidR="00B95807" w:rsidRDefault="00C13B42" w:rsidP="00C13B42">
      <w:pPr>
        <w:jc w:val="center"/>
      </w:pPr>
      <w:r>
        <w:rPr>
          <w:noProof/>
        </w:rPr>
        <w:drawing>
          <wp:inline distT="0" distB="0" distL="0" distR="0" wp14:anchorId="5C182C54" wp14:editId="26698CBA">
            <wp:extent cx="2926079" cy="438912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val_ar1_LSCC_TestingMacro.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26079" cy="4389120"/>
                    </a:xfrm>
                    <a:prstGeom prst="rect">
                      <a:avLst/>
                    </a:prstGeom>
                  </pic:spPr>
                </pic:pic>
              </a:graphicData>
            </a:graphic>
          </wp:inline>
        </w:drawing>
      </w:r>
      <w:r>
        <w:rPr>
          <w:noProof/>
        </w:rPr>
        <w:drawing>
          <wp:inline distT="0" distB="0" distL="0" distR="0" wp14:anchorId="3A4878DD" wp14:editId="09518018">
            <wp:extent cx="2926079" cy="438912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val_ar1_LSCC_TestingECB.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26079" cy="4389120"/>
                    </a:xfrm>
                    <a:prstGeom prst="rect">
                      <a:avLst/>
                    </a:prstGeom>
                  </pic:spPr>
                </pic:pic>
              </a:graphicData>
            </a:graphic>
          </wp:inline>
        </w:drawing>
      </w:r>
    </w:p>
    <w:p w14:paraId="4587AF2F" w14:textId="77777777" w:rsidR="00B95807" w:rsidRDefault="00B95807">
      <w:r>
        <w:br w:type="page"/>
      </w:r>
    </w:p>
    <w:p w14:paraId="3FDB1DD2" w14:textId="12BB49D8" w:rsidR="00890EA4" w:rsidRPr="00470D89" w:rsidRDefault="00890EA4" w:rsidP="00890EA4">
      <w:pPr>
        <w:jc w:val="center"/>
        <w:rPr>
          <w:sz w:val="28"/>
          <w:szCs w:val="28"/>
        </w:rPr>
      </w:pPr>
      <w:r w:rsidRPr="00470D89">
        <w:rPr>
          <w:sz w:val="28"/>
          <w:szCs w:val="28"/>
        </w:rPr>
        <w:lastRenderedPageBreak/>
        <w:t xml:space="preserve">Figure </w:t>
      </w:r>
      <w:r>
        <w:rPr>
          <w:sz w:val="28"/>
          <w:szCs w:val="28"/>
        </w:rPr>
        <w:t>9</w:t>
      </w:r>
      <w:r w:rsidRPr="00470D89">
        <w:rPr>
          <w:sz w:val="28"/>
          <w:szCs w:val="28"/>
        </w:rPr>
        <w:t>: P</w:t>
      </w:r>
      <w:r>
        <w:rPr>
          <w:sz w:val="28"/>
          <w:szCs w:val="28"/>
        </w:rPr>
        <w:t>artial R</w:t>
      </w:r>
      <w:r w:rsidRPr="00470D89">
        <w:rPr>
          <w:sz w:val="28"/>
          <w:szCs w:val="28"/>
          <w:vertAlign w:val="superscript"/>
        </w:rPr>
        <w:t>2</w:t>
      </w:r>
      <w:r>
        <w:rPr>
          <w:sz w:val="28"/>
          <w:szCs w:val="28"/>
        </w:rPr>
        <w:t xml:space="preserve"> </w:t>
      </w:r>
      <w:r w:rsidRPr="00470D89">
        <w:rPr>
          <w:sz w:val="28"/>
          <w:szCs w:val="28"/>
        </w:rPr>
        <w:t>values from the regressions in Equation (12)</w:t>
      </w:r>
    </w:p>
    <w:p w14:paraId="2EE8BD2D" w14:textId="23C32669" w:rsidR="00890EA4" w:rsidRDefault="00890EA4" w:rsidP="002112F2">
      <w:pPr>
        <w:jc w:val="center"/>
      </w:pPr>
      <w:r>
        <w:t>The left panel shows the p</w:t>
      </w:r>
      <w:r w:rsidRPr="00890EA4">
        <w:t xml:space="preserve">artial R2 values </w:t>
      </w:r>
      <w:r>
        <w:t xml:space="preserve">for the regressions of </w:t>
      </w:r>
      <w:r>
        <w:t xml:space="preserve">central bank interventions (operations) conditional on </w:t>
      </w:r>
      <w:r>
        <w:t xml:space="preserve">macro shocks on the network structure. </w:t>
      </w:r>
    </w:p>
    <w:p w14:paraId="00B8DD5C" w14:textId="10A558BF" w:rsidR="00890EA4" w:rsidRDefault="00890EA4">
      <w:pPr>
        <w:rPr>
          <w:sz w:val="28"/>
          <w:szCs w:val="28"/>
        </w:rPr>
      </w:pPr>
      <w:r>
        <w:rPr>
          <w:noProof/>
        </w:rPr>
        <w:drawing>
          <wp:anchor distT="0" distB="0" distL="114300" distR="114300" simplePos="0" relativeHeight="251658240" behindDoc="1" locked="0" layoutInCell="1" allowOverlap="1" wp14:anchorId="39B5E52F" wp14:editId="19497230">
            <wp:simplePos x="0" y="0"/>
            <wp:positionH relativeFrom="column">
              <wp:posOffset>1927986</wp:posOffset>
            </wp:positionH>
            <wp:positionV relativeFrom="paragraph">
              <wp:posOffset>10889</wp:posOffset>
            </wp:positionV>
            <wp:extent cx="4572000" cy="43903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tialRsq_ar1_OperationsGivenMacro.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72000" cy="439039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br w:type="page"/>
      </w:r>
    </w:p>
    <w:p w14:paraId="66CCE090" w14:textId="0AE764F7" w:rsidR="00B95807" w:rsidRPr="00EA61EE" w:rsidRDefault="00B95807" w:rsidP="00B95807">
      <w:pPr>
        <w:jc w:val="center"/>
        <w:rPr>
          <w:sz w:val="28"/>
          <w:szCs w:val="28"/>
        </w:rPr>
      </w:pPr>
      <w:r w:rsidRPr="00EA61EE">
        <w:rPr>
          <w:sz w:val="28"/>
          <w:szCs w:val="28"/>
        </w:rPr>
        <w:lastRenderedPageBreak/>
        <w:t xml:space="preserve">Figure </w:t>
      </w:r>
      <w:r w:rsidR="00A71B36">
        <w:rPr>
          <w:sz w:val="28"/>
          <w:szCs w:val="28"/>
        </w:rPr>
        <w:t>10</w:t>
      </w:r>
      <w:r w:rsidRPr="00EA61EE">
        <w:rPr>
          <w:sz w:val="28"/>
          <w:szCs w:val="28"/>
        </w:rPr>
        <w:t xml:space="preserve">: P-values from </w:t>
      </w:r>
      <w:r>
        <w:rPr>
          <w:sz w:val="28"/>
          <w:szCs w:val="28"/>
        </w:rPr>
        <w:t xml:space="preserve">Conditional </w:t>
      </w:r>
      <w:r w:rsidRPr="00EA61EE">
        <w:rPr>
          <w:sz w:val="28"/>
          <w:szCs w:val="28"/>
        </w:rPr>
        <w:t xml:space="preserve">Tests for the regressions in </w:t>
      </w:r>
      <w:r>
        <w:rPr>
          <w:sz w:val="28"/>
          <w:szCs w:val="28"/>
        </w:rPr>
        <w:t>Equations (15)</w:t>
      </w:r>
    </w:p>
    <w:p w14:paraId="5CCFDBDD" w14:textId="5409B416" w:rsidR="00B95807" w:rsidRDefault="00B95807" w:rsidP="00B95807">
      <w:pPr>
        <w:jc w:val="center"/>
      </w:pPr>
      <w:r>
        <w:t xml:space="preserve">The figure shows the p-value for the test statistic corresponding to the partial regression null hypothesis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7</m:t>
            </m:r>
          </m:sub>
        </m:sSub>
        <m:r>
          <w:rPr>
            <w:rFonts w:ascii="Cambria Math" w:hAnsi="Cambria Math"/>
          </w:rPr>
          <m:t>=0</m:t>
        </m:r>
        <m:r>
          <w:rPr>
            <w:rFonts w:ascii="Cambria Math" w:eastAsiaTheme="minorEastAsia" w:hAnsi="Cambria Math"/>
          </w:rPr>
          <m:t xml:space="preserve"> | </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4</m:t>
            </m:r>
          </m:sub>
        </m:sSub>
        <m:r>
          <w:rPr>
            <w:rFonts w:ascii="Cambria Math" w:hAnsi="Cambria Math"/>
          </w:rPr>
          <m:t>≠ 0</m:t>
        </m:r>
      </m:oMath>
      <w:r>
        <w:rPr>
          <w:rFonts w:eastAsiaTheme="minorEastAsia"/>
        </w:rPr>
        <w:t xml:space="preserve"> – ECB interventions do not affect the network structure conditional on the macroeconomic variables. </w:t>
      </w:r>
    </w:p>
    <w:p w14:paraId="4B4EFE0D" w14:textId="5A4F9989" w:rsidR="00880B4A" w:rsidRDefault="00880B4A" w:rsidP="00CB1D44">
      <w:pPr>
        <w:jc w:val="center"/>
      </w:pPr>
    </w:p>
    <w:p w14:paraId="54B31918" w14:textId="7D2F0779" w:rsidR="00B95807" w:rsidRDefault="00B95807" w:rsidP="00CB1D44">
      <w:pPr>
        <w:jc w:val="center"/>
      </w:pPr>
      <w:r>
        <w:rPr>
          <w:noProof/>
        </w:rPr>
        <w:drawing>
          <wp:inline distT="0" distB="0" distL="0" distR="0" wp14:anchorId="103EBACD" wp14:editId="5190F81A">
            <wp:extent cx="2926078" cy="4389118"/>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val_ar1_LSCC_TestingMacro.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26078" cy="4389118"/>
                    </a:xfrm>
                    <a:prstGeom prst="rect">
                      <a:avLst/>
                    </a:prstGeom>
                  </pic:spPr>
                </pic:pic>
              </a:graphicData>
            </a:graphic>
          </wp:inline>
        </w:drawing>
      </w:r>
    </w:p>
    <w:p w14:paraId="2EFD8998" w14:textId="77777777" w:rsidR="00EA61EE" w:rsidRDefault="00EA61EE"/>
    <w:p w14:paraId="4426F121" w14:textId="77777777" w:rsidR="00537A20" w:rsidRDefault="00537A20" w:rsidP="00537A20">
      <w:pPr>
        <w:sectPr w:rsidR="00537A20" w:rsidSect="00915BB5">
          <w:footerReference w:type="default" r:id="rId34"/>
          <w:pgSz w:w="15840" w:h="12240" w:orient="landscape"/>
          <w:pgMar w:top="1440" w:right="1440" w:bottom="1440" w:left="1440" w:header="720" w:footer="720" w:gutter="0"/>
          <w:cols w:space="720"/>
          <w:titlePg/>
          <w:docGrid w:linePitch="360"/>
        </w:sectPr>
      </w:pPr>
    </w:p>
    <w:p w14:paraId="3E1DEA9B" w14:textId="1CBE2476" w:rsidR="00537A20" w:rsidRDefault="00537A20">
      <w:pPr>
        <w:rPr>
          <w:sz w:val="28"/>
          <w:szCs w:val="28"/>
        </w:rPr>
      </w:pPr>
      <w:r w:rsidRPr="00537A20">
        <w:rPr>
          <w:sz w:val="28"/>
          <w:szCs w:val="28"/>
        </w:rPr>
        <w:lastRenderedPageBreak/>
        <w:t>Appendix</w:t>
      </w:r>
    </w:p>
    <w:p w14:paraId="610E77E5" w14:textId="77777777" w:rsidR="00537A20" w:rsidRPr="00AE57ED" w:rsidRDefault="00537A20" w:rsidP="00537A20">
      <w:pPr>
        <w:pStyle w:val="NormalWeb"/>
        <w:spacing w:before="0" w:beforeAutospacing="0" w:after="0" w:afterAutospacing="0"/>
        <w:jc w:val="both"/>
      </w:pPr>
      <w:r w:rsidRPr="00AE57ED">
        <w:t xml:space="preserve">Let </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AE57ED">
        <w:t xml:space="preserve"> be the network adjacency matrix at time </w:t>
      </w:r>
      <w:r w:rsidRPr="00AE57ED">
        <w:rPr>
          <w:i/>
        </w:rPr>
        <w:t>t</w:t>
      </w:r>
      <w:r w:rsidRPr="00AE57ED">
        <w:t xml:space="preserve">. Then the given network sequence can be approximated with </w:t>
      </w:r>
    </w:p>
    <w:p w14:paraId="031A65A9" w14:textId="77777777" w:rsidR="00537A20" w:rsidRPr="00AE57ED" w:rsidRDefault="00851398" w:rsidP="00537A20">
      <w:pPr>
        <w:pStyle w:val="NormalWeb"/>
        <w:spacing w:before="0" w:beforeAutospacing="0" w:after="0" w:afterAutospacing="0"/>
        <w:jc w:val="center"/>
      </w:pP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t</m:t>
            </m:r>
          </m:sub>
        </m:sSub>
        <m:sSubSup>
          <m:sSubSupPr>
            <m:ctrlPr>
              <w:rPr>
                <w:rFonts w:ascii="Cambria Math" w:hAnsi="Cambria Math"/>
                <w:i/>
              </w:rPr>
            </m:ctrlPr>
          </m:sSubSupPr>
          <m:e>
            <m:r>
              <w:rPr>
                <w:rFonts w:ascii="Cambria Math" w:hAnsi="Cambria Math"/>
              </w:rPr>
              <m:t>V</m:t>
            </m:r>
          </m:e>
          <m:sub>
            <m:r>
              <w:rPr>
                <w:rFonts w:ascii="Cambria Math" w:hAnsi="Cambria Math"/>
              </w:rPr>
              <m:t>t</m:t>
            </m:r>
          </m:sub>
          <m:sup>
            <m:r>
              <w:rPr>
                <w:rFonts w:ascii="Cambria Math" w:hAnsi="Cambria Math"/>
              </w:rPr>
              <m:t>T</m:t>
            </m:r>
          </m:sup>
        </m:sSubSup>
      </m:oMath>
      <w:r w:rsidR="00537A20" w:rsidRPr="00AE57ED">
        <w:t>,</w:t>
      </w:r>
    </w:p>
    <w:p w14:paraId="09882246" w14:textId="77777777" w:rsidR="00537A20" w:rsidRDefault="00537A20" w:rsidP="00537A20">
      <w:pPr>
        <w:pStyle w:val="NormalWeb"/>
        <w:spacing w:before="0" w:beforeAutospacing="0" w:after="0" w:afterAutospacing="0"/>
      </w:pPr>
    </w:p>
    <w:p w14:paraId="26BAB33A" w14:textId="77777777" w:rsidR="00537A20" w:rsidRPr="00AE57ED" w:rsidRDefault="00537A20" w:rsidP="00537A20">
      <w:pPr>
        <w:pStyle w:val="NormalWeb"/>
        <w:spacing w:before="0" w:beforeAutospacing="0" w:after="0" w:afterAutospacing="0"/>
        <w:jc w:val="both"/>
      </w:pPr>
      <w:r w:rsidRPr="00AE57ED">
        <w:t xml:space="preserve">where </w:t>
      </w:r>
      <m:oMath>
        <m:sSub>
          <m:sSubPr>
            <m:ctrlPr>
              <w:rPr>
                <w:rFonts w:ascii="Cambria Math" w:hAnsi="Cambria Math"/>
                <w:i/>
              </w:rPr>
            </m:ctrlPr>
          </m:sSubPr>
          <m:e>
            <m:r>
              <w:rPr>
                <w:rFonts w:ascii="Cambria Math" w:hAnsi="Cambria Math"/>
              </w:rPr>
              <m:t>U</m:t>
            </m:r>
          </m:e>
          <m:sub>
            <m:r>
              <w:rPr>
                <w:rFonts w:ascii="Cambria Math" w:hAnsi="Cambria Math"/>
              </w:rPr>
              <m:t>t</m:t>
            </m:r>
          </m:sub>
        </m:sSub>
      </m:oMath>
      <w:r w:rsidRPr="00AE57ED">
        <w:t xml:space="preserve"> and </w:t>
      </w:r>
      <m:oMath>
        <m:sSub>
          <m:sSubPr>
            <m:ctrlPr>
              <w:rPr>
                <w:rFonts w:ascii="Cambria Math" w:hAnsi="Cambria Math"/>
                <w:i/>
              </w:rPr>
            </m:ctrlPr>
          </m:sSubPr>
          <m:e>
            <m:r>
              <w:rPr>
                <w:rFonts w:ascii="Cambria Math" w:hAnsi="Cambria Math"/>
              </w:rPr>
              <m:t>V</m:t>
            </m:r>
          </m:e>
          <m:sub>
            <m:r>
              <w:rPr>
                <w:rFonts w:ascii="Cambria Math" w:hAnsi="Cambria Math"/>
              </w:rPr>
              <m:t>t</m:t>
            </m:r>
          </m:sub>
        </m:sSub>
      </m:oMath>
      <w:r w:rsidRPr="00AE57ED">
        <w:t xml:space="preserve"> are both vectors that are constrained to be non-negative, i.e., each element of </w:t>
      </w:r>
      <m:oMath>
        <m:sSub>
          <m:sSubPr>
            <m:ctrlPr>
              <w:rPr>
                <w:rFonts w:ascii="Cambria Math" w:hAnsi="Cambria Math"/>
                <w:i/>
              </w:rPr>
            </m:ctrlPr>
          </m:sSubPr>
          <m:e>
            <m:r>
              <w:rPr>
                <w:rFonts w:ascii="Cambria Math" w:hAnsi="Cambria Math"/>
              </w:rPr>
              <m:t>U</m:t>
            </m:r>
          </m:e>
          <m:sub>
            <m:r>
              <w:rPr>
                <w:rFonts w:ascii="Cambria Math" w:hAnsi="Cambria Math"/>
              </w:rPr>
              <m:t>t</m:t>
            </m:r>
          </m:sub>
        </m:sSub>
      </m:oMath>
      <w:r w:rsidRPr="00AE57ED">
        <w:t xml:space="preserve"> and </w:t>
      </w:r>
      <m:oMath>
        <m:sSub>
          <m:sSubPr>
            <m:ctrlPr>
              <w:rPr>
                <w:rFonts w:ascii="Cambria Math" w:hAnsi="Cambria Math"/>
                <w:i/>
              </w:rPr>
            </m:ctrlPr>
          </m:sSubPr>
          <m:e>
            <m:r>
              <w:rPr>
                <w:rFonts w:ascii="Cambria Math" w:hAnsi="Cambria Math"/>
              </w:rPr>
              <m:t>V</m:t>
            </m:r>
          </m:e>
          <m:sub>
            <m:r>
              <w:rPr>
                <w:rFonts w:ascii="Cambria Math" w:hAnsi="Cambria Math"/>
              </w:rPr>
              <m:t>t</m:t>
            </m:r>
          </m:sub>
        </m:sSub>
      </m:oMath>
      <w:r w:rsidRPr="00AE57ED">
        <w:t xml:space="preserve"> is greater than or equal to zero. Interpretations of </w:t>
      </w:r>
      <m:oMath>
        <m:sSub>
          <m:sSubPr>
            <m:ctrlPr>
              <w:rPr>
                <w:rFonts w:ascii="Cambria Math" w:hAnsi="Cambria Math"/>
                <w:i/>
              </w:rPr>
            </m:ctrlPr>
          </m:sSubPr>
          <m:e>
            <m:r>
              <w:rPr>
                <w:rFonts w:ascii="Cambria Math" w:hAnsi="Cambria Math"/>
              </w:rPr>
              <m:t>U</m:t>
            </m:r>
          </m:e>
          <m:sub>
            <m:r>
              <w:rPr>
                <w:rFonts w:ascii="Cambria Math" w:hAnsi="Cambria Math"/>
              </w:rPr>
              <m:t>t</m:t>
            </m:r>
          </m:sub>
        </m:sSub>
      </m:oMath>
      <w:r w:rsidRPr="00AE57ED">
        <w:t xml:space="preserve"> and </w:t>
      </w:r>
      <m:oMath>
        <m:sSub>
          <m:sSubPr>
            <m:ctrlPr>
              <w:rPr>
                <w:rFonts w:ascii="Cambria Math" w:hAnsi="Cambria Math"/>
                <w:i/>
              </w:rPr>
            </m:ctrlPr>
          </m:sSubPr>
          <m:e>
            <m:r>
              <w:rPr>
                <w:rFonts w:ascii="Cambria Math" w:hAnsi="Cambria Math"/>
              </w:rPr>
              <m:t>V</m:t>
            </m:r>
          </m:e>
          <m:sub>
            <m:r>
              <w:rPr>
                <w:rFonts w:ascii="Cambria Math" w:hAnsi="Cambria Math"/>
              </w:rPr>
              <m:t>t</m:t>
            </m:r>
          </m:sub>
        </m:sSub>
      </m:oMath>
      <w:r w:rsidRPr="00AE57ED">
        <w:t xml:space="preserve"> are straight-forward. The j-th element of </w:t>
      </w:r>
      <m:oMath>
        <m:sSub>
          <m:sSubPr>
            <m:ctrlPr>
              <w:rPr>
                <w:rFonts w:ascii="Cambria Math" w:hAnsi="Cambria Math"/>
                <w:i/>
              </w:rPr>
            </m:ctrlPr>
          </m:sSubPr>
          <m:e>
            <m:r>
              <w:rPr>
                <w:rFonts w:ascii="Cambria Math" w:hAnsi="Cambria Math"/>
              </w:rPr>
              <m:t>U</m:t>
            </m:r>
          </m:e>
          <m:sub>
            <m:r>
              <w:rPr>
                <w:rFonts w:ascii="Cambria Math" w:hAnsi="Cambria Math"/>
              </w:rPr>
              <m:t>t</m:t>
            </m:r>
          </m:sub>
        </m:sSub>
      </m:oMath>
      <w:r w:rsidRPr="00AE57ED">
        <w:t xml:space="preserve"> measures the importance of bank </w:t>
      </w:r>
      <w:r w:rsidRPr="00AE57ED">
        <w:rPr>
          <w:i/>
        </w:rPr>
        <w:t>j</w:t>
      </w:r>
      <w:r w:rsidRPr="00AE57ED">
        <w:t xml:space="preserve"> to average outgoing connectivity at time </w:t>
      </w:r>
      <w:r w:rsidRPr="00AE57ED">
        <w:rPr>
          <w:i/>
        </w:rPr>
        <w:t>t</w:t>
      </w:r>
      <w:r w:rsidRPr="00AE57ED">
        <w:t xml:space="preserve">. Likewise, the j-th element of </w:t>
      </w:r>
      <m:oMath>
        <m:sSub>
          <m:sSubPr>
            <m:ctrlPr>
              <w:rPr>
                <w:rFonts w:ascii="Cambria Math" w:hAnsi="Cambria Math"/>
                <w:i/>
              </w:rPr>
            </m:ctrlPr>
          </m:sSubPr>
          <m:e>
            <m:r>
              <w:rPr>
                <w:rFonts w:ascii="Cambria Math" w:hAnsi="Cambria Math"/>
              </w:rPr>
              <m:t>V</m:t>
            </m:r>
          </m:e>
          <m:sub>
            <m:r>
              <w:rPr>
                <w:rFonts w:ascii="Cambria Math" w:hAnsi="Cambria Math"/>
              </w:rPr>
              <m:t>t</m:t>
            </m:r>
          </m:sub>
        </m:sSub>
      </m:oMath>
      <w:r w:rsidRPr="00AE57ED">
        <w:t xml:space="preserve"> measures the importance of bank </w:t>
      </w:r>
      <w:r w:rsidRPr="00AE57ED">
        <w:rPr>
          <w:i/>
        </w:rPr>
        <w:t>j</w:t>
      </w:r>
      <w:r w:rsidRPr="00AE57ED">
        <w:t xml:space="preserve"> to the average incoming connectivity at time </w:t>
      </w:r>
      <w:r w:rsidRPr="00AE57ED">
        <w:rPr>
          <w:i/>
        </w:rPr>
        <w:t>t</w:t>
      </w:r>
      <w:r w:rsidRPr="00AE57ED">
        <w:t xml:space="preserve">. Together, </w:t>
      </w:r>
      <m:oMath>
        <m:sSub>
          <m:sSubPr>
            <m:ctrlPr>
              <w:rPr>
                <w:rFonts w:ascii="Cambria Math" w:hAnsi="Cambria Math"/>
                <w:i/>
              </w:rPr>
            </m:ctrlPr>
          </m:sSubPr>
          <m:e>
            <m:r>
              <w:rPr>
                <w:rFonts w:ascii="Cambria Math" w:hAnsi="Cambria Math"/>
              </w:rPr>
              <m:t>U</m:t>
            </m:r>
          </m:e>
          <m:sub>
            <m:r>
              <w:rPr>
                <w:rFonts w:ascii="Cambria Math" w:hAnsi="Cambria Math"/>
              </w:rPr>
              <m:t>t</m:t>
            </m:r>
          </m:sub>
        </m:sSub>
      </m:oMath>
      <w:r w:rsidRPr="00AE57ED">
        <w:t xml:space="preserve"> and </w:t>
      </w:r>
      <m:oMath>
        <m:sSub>
          <m:sSubPr>
            <m:ctrlPr>
              <w:rPr>
                <w:rFonts w:ascii="Cambria Math" w:hAnsi="Cambria Math"/>
                <w:i/>
              </w:rPr>
            </m:ctrlPr>
          </m:sSubPr>
          <m:e>
            <m:r>
              <w:rPr>
                <w:rFonts w:ascii="Cambria Math" w:hAnsi="Cambria Math"/>
              </w:rPr>
              <m:t>V</m:t>
            </m:r>
          </m:e>
          <m:sub>
            <m:r>
              <w:rPr>
                <w:rFonts w:ascii="Cambria Math" w:hAnsi="Cambria Math"/>
              </w:rPr>
              <m:t>t</m:t>
            </m:r>
          </m:sub>
        </m:sSub>
      </m:oMath>
      <w:r w:rsidRPr="00AE57ED">
        <w:t xml:space="preserve"> are useful for highlighting banks by their importance to interconnectivity.</w:t>
      </w:r>
    </w:p>
    <w:p w14:paraId="637A7FB4" w14:textId="77777777" w:rsidR="00537A20" w:rsidRPr="00AE57ED" w:rsidRDefault="00537A20" w:rsidP="00537A20">
      <w:pPr>
        <w:pStyle w:val="NormalWeb"/>
        <w:spacing w:before="0" w:beforeAutospacing="0" w:after="0" w:afterAutospacing="0"/>
      </w:pPr>
    </w:p>
    <w:p w14:paraId="6D81FFBE" w14:textId="77777777" w:rsidR="00537A20" w:rsidRDefault="00537A20" w:rsidP="00537A20">
      <w:pPr>
        <w:pStyle w:val="NormalWeb"/>
        <w:spacing w:before="0" w:beforeAutospacing="0" w:after="0" w:afterAutospacing="0"/>
        <w:jc w:val="both"/>
      </w:pPr>
      <w:r>
        <w:t>C</w:t>
      </w:r>
      <w:r w:rsidRPr="00CF4C61">
        <w:t xml:space="preserve">onstraints </w:t>
      </w:r>
      <w:r>
        <w:t xml:space="preserve">that </w:t>
      </w:r>
      <w:r w:rsidRPr="00AE57ED">
        <w:t>forc</w:t>
      </w:r>
      <w:r>
        <w:t>e</w:t>
      </w:r>
      <w:r w:rsidRPr="00AE57ED">
        <w:t xml:space="preserve"> </w:t>
      </w:r>
      <w:r w:rsidRPr="00CF4C61">
        <w:t xml:space="preserve">evolving factors </w:t>
      </w:r>
      <m:oMath>
        <m:sSub>
          <m:sSubPr>
            <m:ctrlPr>
              <w:rPr>
                <w:rFonts w:ascii="Cambria Math" w:hAnsi="Cambria Math"/>
                <w:i/>
              </w:rPr>
            </m:ctrlPr>
          </m:sSubPr>
          <m:e>
            <m:r>
              <w:rPr>
                <w:rFonts w:ascii="Cambria Math" w:hAnsi="Cambria Math"/>
              </w:rPr>
              <m:t>U</m:t>
            </m:r>
          </m:e>
          <m:sub>
            <m:r>
              <w:rPr>
                <w:rFonts w:ascii="Cambria Math" w:hAnsi="Cambria Math"/>
              </w:rPr>
              <m:t>t</m:t>
            </m:r>
          </m:sub>
        </m:sSub>
      </m:oMath>
      <w:r w:rsidRPr="00AE57ED">
        <w:t xml:space="preserve"> and </w:t>
      </w:r>
      <m:oMath>
        <m:sSub>
          <m:sSubPr>
            <m:ctrlPr>
              <w:rPr>
                <w:rFonts w:ascii="Cambria Math" w:hAnsi="Cambria Math"/>
                <w:i/>
              </w:rPr>
            </m:ctrlPr>
          </m:sSubPr>
          <m:e>
            <m:r>
              <w:rPr>
                <w:rFonts w:ascii="Cambria Math" w:hAnsi="Cambria Math"/>
              </w:rPr>
              <m:t>V</m:t>
            </m:r>
          </m:e>
          <m:sub>
            <m:r>
              <w:rPr>
                <w:rFonts w:ascii="Cambria Math" w:hAnsi="Cambria Math"/>
              </w:rPr>
              <m:t>t</m:t>
            </m:r>
          </m:sub>
        </m:sSub>
      </m:oMath>
      <w:r w:rsidRPr="00AE57ED">
        <w:t xml:space="preserve"> to </w:t>
      </w:r>
      <w:r w:rsidRPr="00CF4C61">
        <w:t xml:space="preserve">exhibit temporal </w:t>
      </w:r>
      <w:r w:rsidRPr="00AE57ED">
        <w:t>smoothness</w:t>
      </w:r>
      <w:r>
        <w:t xml:space="preserve"> are imposed </w:t>
      </w:r>
      <w:r w:rsidRPr="00CF4C61">
        <w:t>on the factorizations</w:t>
      </w:r>
      <w:r w:rsidRPr="00AE57ED">
        <w:t xml:space="preserve"> t</w:t>
      </w:r>
      <w:r w:rsidRPr="00CF4C61">
        <w:t>o enhance their vis</w:t>
      </w:r>
      <w:r w:rsidRPr="00AE57ED">
        <w:t>ualization and interpretability</w:t>
      </w:r>
      <w:r w:rsidRPr="00CF4C61">
        <w:t xml:space="preserve">. This ensures that </w:t>
      </w:r>
      <w:r w:rsidRPr="00AE57ED">
        <w:t xml:space="preserve">bank </w:t>
      </w:r>
      <w:r w:rsidRPr="00CF4C61">
        <w:t>trajectories are visually smooth</w:t>
      </w:r>
      <w:r w:rsidRPr="00AE57ED">
        <w:t xml:space="preserve"> when drawn</w:t>
      </w:r>
      <w:r w:rsidRPr="00CF4C61">
        <w:t xml:space="preserve">, and as a consequence, time plots of each </w:t>
      </w:r>
      <w:r w:rsidRPr="00AE57ED">
        <w:t>bank</w:t>
      </w:r>
      <w:r w:rsidRPr="00CF4C61">
        <w:t xml:space="preserve"> become informative. </w:t>
      </w:r>
      <w:r w:rsidRPr="00AE57ED">
        <w:t xml:space="preserve">Thus, centrality measures over time </w:t>
      </w:r>
      <w:r>
        <w:t xml:space="preserve">are found </w:t>
      </w:r>
      <w:r w:rsidRPr="00AE57ED">
        <w:t>by minimizing an objective function that consists of a goodness of fit component and a smoothness penalty</w:t>
      </w:r>
    </w:p>
    <w:p w14:paraId="39CE379D" w14:textId="77777777" w:rsidR="00537A20" w:rsidRPr="00AE57ED" w:rsidRDefault="00537A20" w:rsidP="00537A20">
      <w:pPr>
        <w:pStyle w:val="NormalWeb"/>
        <w:spacing w:before="0" w:beforeAutospacing="0" w:after="0" w:afterAutospacing="0"/>
      </w:pPr>
    </w:p>
    <w:p w14:paraId="2F3D16AF" w14:textId="77777777" w:rsidR="00537A20" w:rsidRPr="00AE57ED" w:rsidRDefault="00851398" w:rsidP="00537A20">
      <w:pPr>
        <w:pStyle w:val="NormalWeb"/>
        <w:spacing w:before="0" w:beforeAutospacing="0" w:after="0" w:afterAutospacing="0"/>
        <w:jc w:val="center"/>
      </w:p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ctrlPr>
                  <w:rPr>
                    <w:rFonts w:ascii="Cambria Math" w:hAnsi="Cambria Math"/>
                  </w:rPr>
                </m:ctrlPr>
              </m:e>
              <m:li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t</m:t>
                    </m:r>
                  </m:sub>
                </m:sSub>
                <m:r>
                  <w:rPr>
                    <w:rFonts w:ascii="Cambria Math" w:hAnsi="Cambria Math"/>
                  </w:rPr>
                  <m:t>}</m:t>
                </m:r>
                <m:ctrlPr>
                  <w:rPr>
                    <w:rFonts w:ascii="Cambria Math" w:hAnsi="Cambria Math"/>
                  </w:rPr>
                </m:ctrlPr>
              </m:lim>
            </m:limLow>
          </m:fName>
          <m:e>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sSubSup>
                  <m:sSubSupPr>
                    <m:ctrlPr>
                      <w:rPr>
                        <w:rFonts w:ascii="Cambria Math" w:hAnsi="Cambria Math"/>
                        <w:i/>
                      </w:rPr>
                    </m:ctrlPr>
                  </m:sSubSupPr>
                  <m:e>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t</m:t>
                            </m:r>
                          </m:sub>
                        </m:sSub>
                        <m:sSubSup>
                          <m:sSubSupPr>
                            <m:ctrlPr>
                              <w:rPr>
                                <w:rFonts w:ascii="Cambria Math" w:hAnsi="Cambria Math"/>
                                <w:i/>
                              </w:rPr>
                            </m:ctrlPr>
                          </m:sSubSupPr>
                          <m:e>
                            <m:r>
                              <w:rPr>
                                <w:rFonts w:ascii="Cambria Math" w:hAnsi="Cambria Math"/>
                              </w:rPr>
                              <m:t>V</m:t>
                            </m:r>
                          </m:e>
                          <m:sub>
                            <m:r>
                              <w:rPr>
                                <w:rFonts w:ascii="Cambria Math" w:hAnsi="Cambria Math"/>
                              </w:rPr>
                              <m:t>t</m:t>
                            </m:r>
                          </m:sub>
                          <m:sup>
                            <m:r>
                              <w:rPr>
                                <w:rFonts w:ascii="Cambria Math" w:hAnsi="Cambria Math"/>
                              </w:rPr>
                              <m:t>T</m:t>
                            </m:r>
                          </m:sup>
                        </m:sSubSup>
                      </m:e>
                    </m:d>
                    <m:r>
                      <w:rPr>
                        <w:rFonts w:ascii="Cambria Math" w:hAnsi="Cambria Math"/>
                      </w:rPr>
                      <m:t>|</m:t>
                    </m:r>
                  </m:e>
                  <m:sub>
                    <m:r>
                      <w:rPr>
                        <w:rFonts w:ascii="Cambria Math" w:hAnsi="Cambria Math"/>
                      </w:rPr>
                      <m:t>F</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1</m:t>
                    </m:r>
                  </m:sub>
                </m:sSub>
                <m:nary>
                  <m:naryPr>
                    <m:chr m:val="∑"/>
                    <m:limLoc m:val="undOvr"/>
                    <m:ctrlPr>
                      <w:rPr>
                        <w:rFonts w:ascii="Cambria Math" w:hAnsi="Cambria Math"/>
                        <w:i/>
                      </w:rPr>
                    </m:ctrlPr>
                  </m:naryPr>
                  <m:sub>
                    <m:r>
                      <w:rPr>
                        <w:rFonts w:ascii="Cambria Math" w:hAnsi="Cambria Math"/>
                      </w:rPr>
                      <m:t>t=2</m:t>
                    </m:r>
                  </m:sub>
                  <m:sup>
                    <m:r>
                      <w:rPr>
                        <w:rFonts w:ascii="Cambria Math" w:hAnsi="Cambria Math"/>
                      </w:rPr>
                      <m:t>T</m:t>
                    </m:r>
                  </m:sup>
                  <m:e>
                    <m:sSubSup>
                      <m:sSubSupPr>
                        <m:ctrlPr>
                          <w:rPr>
                            <w:rFonts w:ascii="Cambria Math" w:hAnsi="Cambria Math"/>
                            <w:i/>
                          </w:rPr>
                        </m:ctrlPr>
                      </m:sSubSupPr>
                      <m:e>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t-1</m:t>
                                </m:r>
                              </m:sub>
                            </m:sSub>
                          </m:e>
                        </m:d>
                        <m:r>
                          <w:rPr>
                            <w:rFonts w:ascii="Cambria Math" w:hAnsi="Cambria Math"/>
                          </w:rPr>
                          <m:t>|</m:t>
                        </m:r>
                      </m:e>
                      <m:sub>
                        <m:r>
                          <w:rPr>
                            <w:rFonts w:ascii="Cambria Math" w:hAnsi="Cambria Math"/>
                          </w:rPr>
                          <m:t>F</m:t>
                        </m:r>
                      </m:sub>
                      <m:sup>
                        <m:r>
                          <w:rPr>
                            <w:rFonts w:ascii="Cambria Math" w:hAnsi="Cambria Math"/>
                          </w:rPr>
                          <m:t>2</m:t>
                        </m:r>
                      </m:sup>
                    </m:sSubSup>
                    <m:r>
                      <w:rPr>
                        <w:rFonts w:ascii="Cambria Math" w:hAnsi="Cambria Math"/>
                      </w:rPr>
                      <m:t xml:space="preserve">+ </m:t>
                    </m:r>
                  </m:e>
                </m:nary>
                <m:sSub>
                  <m:sSubPr>
                    <m:ctrlPr>
                      <w:rPr>
                        <w:rFonts w:ascii="Cambria Math" w:hAnsi="Cambria Math"/>
                        <w:i/>
                      </w:rPr>
                    </m:ctrlPr>
                  </m:sSubPr>
                  <m:e>
                    <m:r>
                      <w:rPr>
                        <w:rFonts w:ascii="Cambria Math" w:hAnsi="Cambria Math"/>
                      </w:rPr>
                      <m:t>λ</m:t>
                    </m:r>
                  </m:e>
                  <m:sub>
                    <m:r>
                      <w:rPr>
                        <w:rFonts w:ascii="Cambria Math" w:hAnsi="Cambria Math"/>
                      </w:rPr>
                      <m:t>2</m:t>
                    </m:r>
                  </m:sub>
                </m:sSub>
                <m:nary>
                  <m:naryPr>
                    <m:chr m:val="∑"/>
                    <m:limLoc m:val="undOvr"/>
                    <m:ctrlPr>
                      <w:rPr>
                        <w:rFonts w:ascii="Cambria Math" w:hAnsi="Cambria Math"/>
                        <w:i/>
                      </w:rPr>
                    </m:ctrlPr>
                  </m:naryPr>
                  <m:sub>
                    <m:r>
                      <w:rPr>
                        <w:rFonts w:ascii="Cambria Math" w:hAnsi="Cambria Math"/>
                      </w:rPr>
                      <m:t>t=2</m:t>
                    </m:r>
                  </m:sub>
                  <m:sup>
                    <m:r>
                      <w:rPr>
                        <w:rFonts w:ascii="Cambria Math" w:hAnsi="Cambria Math"/>
                      </w:rPr>
                      <m:t>T</m:t>
                    </m:r>
                  </m:sup>
                  <m:e>
                    <m:sSubSup>
                      <m:sSubSupPr>
                        <m:ctrlPr>
                          <w:rPr>
                            <w:rFonts w:ascii="Cambria Math" w:hAnsi="Cambria Math"/>
                            <w:i/>
                          </w:rPr>
                        </m:ctrlPr>
                      </m:sSubSupPr>
                      <m:e>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t-1</m:t>
                                </m:r>
                              </m:sub>
                            </m:sSub>
                          </m:e>
                        </m:d>
                        <m:r>
                          <w:rPr>
                            <w:rFonts w:ascii="Cambria Math" w:hAnsi="Cambria Math"/>
                          </w:rPr>
                          <m:t>|</m:t>
                        </m:r>
                      </m:e>
                      <m:sub>
                        <m:r>
                          <w:rPr>
                            <w:rFonts w:ascii="Cambria Math" w:hAnsi="Cambria Math"/>
                          </w:rPr>
                          <m:t>F</m:t>
                        </m:r>
                      </m:sub>
                      <m:sup>
                        <m:r>
                          <w:rPr>
                            <w:rFonts w:ascii="Cambria Math" w:hAnsi="Cambria Math"/>
                          </w:rPr>
                          <m:t>2</m:t>
                        </m:r>
                      </m:sup>
                    </m:sSubSup>
                    <m:r>
                      <w:rPr>
                        <w:rFonts w:ascii="Cambria Math" w:hAnsi="Cambria Math"/>
                      </w:rPr>
                      <m:t xml:space="preserve"> </m:t>
                    </m:r>
                  </m:e>
                </m:nary>
              </m:e>
            </m:nary>
          </m:e>
        </m:func>
      </m:oMath>
      <w:r w:rsidR="00537A20" w:rsidRPr="00AE57ED">
        <w:t>,</w:t>
      </w:r>
    </w:p>
    <w:p w14:paraId="37386504" w14:textId="77777777" w:rsidR="00537A20" w:rsidRDefault="00537A20" w:rsidP="00537A20">
      <w:pPr>
        <w:pStyle w:val="NormalWeb"/>
        <w:spacing w:before="0" w:beforeAutospacing="0" w:after="0" w:afterAutospacing="0"/>
      </w:pPr>
    </w:p>
    <w:p w14:paraId="559BF863" w14:textId="77777777" w:rsidR="00537A20" w:rsidRPr="00AE57ED" w:rsidRDefault="00537A20" w:rsidP="00537A20">
      <w:pPr>
        <w:pStyle w:val="NormalWeb"/>
        <w:spacing w:before="0" w:beforeAutospacing="0" w:after="0" w:afterAutospacing="0"/>
        <w:jc w:val="both"/>
      </w:pPr>
      <w:r w:rsidRPr="00AE57ED">
        <w:t xml:space="preserve">where the parameters </w:t>
      </w:r>
      <m:oMath>
        <m:sSub>
          <m:sSubPr>
            <m:ctrlPr>
              <w:rPr>
                <w:rFonts w:ascii="Cambria Math" w:hAnsi="Cambria Math"/>
                <w:i/>
              </w:rPr>
            </m:ctrlPr>
          </m:sSubPr>
          <m:e>
            <m:r>
              <w:rPr>
                <w:rFonts w:ascii="Cambria Math" w:hAnsi="Cambria Math"/>
              </w:rPr>
              <m:t>λ</m:t>
            </m:r>
          </m:e>
          <m:sub>
            <m:r>
              <w:rPr>
                <w:rFonts w:ascii="Cambria Math" w:hAnsi="Cambria Math"/>
              </w:rPr>
              <m:t>1</m:t>
            </m:r>
          </m:sub>
        </m:sSub>
      </m:oMath>
      <w:r w:rsidRPr="00AE57ED">
        <w:t xml:space="preserve"> and </w:t>
      </w:r>
      <m:oMath>
        <m:sSub>
          <m:sSubPr>
            <m:ctrlPr>
              <w:rPr>
                <w:rFonts w:ascii="Cambria Math" w:hAnsi="Cambria Math"/>
                <w:i/>
              </w:rPr>
            </m:ctrlPr>
          </m:sSubPr>
          <m:e>
            <m:r>
              <w:rPr>
                <w:rFonts w:ascii="Cambria Math" w:hAnsi="Cambria Math"/>
              </w:rPr>
              <m:t>λ</m:t>
            </m:r>
          </m:e>
          <m:sub>
            <m:r>
              <w:rPr>
                <w:rFonts w:ascii="Cambria Math" w:hAnsi="Cambria Math"/>
              </w:rPr>
              <m:t>2</m:t>
            </m:r>
          </m:sub>
        </m:sSub>
      </m:oMath>
      <w:r w:rsidRPr="00AE57ED">
        <w:t xml:space="preserve"> are set by the user to control the amount of memory or smoothness in the factors over time, and </w:t>
      </w:r>
      <m:oMath>
        <m:sSub>
          <m:sSubPr>
            <m:ctrlPr>
              <w:rPr>
                <w:rFonts w:ascii="Cambria Math" w:hAnsi="Cambria Math"/>
                <w:i/>
              </w:rPr>
            </m:ctrlPr>
          </m:sSubPr>
          <m:e>
            <m:r>
              <w:rPr>
                <w:rFonts w:ascii="Cambria Math" w:hAnsi="Cambria Math"/>
              </w:rPr>
              <m:t>U</m:t>
            </m:r>
          </m:e>
          <m:sub>
            <m:r>
              <w:rPr>
                <w:rFonts w:ascii="Cambria Math" w:hAnsi="Cambria Math"/>
              </w:rPr>
              <m:t>t</m:t>
            </m:r>
          </m:sub>
        </m:sSub>
      </m:oMath>
      <w:r w:rsidRPr="00AE57ED">
        <w:t xml:space="preserve"> and </w:t>
      </w:r>
      <m:oMath>
        <m:sSub>
          <m:sSubPr>
            <m:ctrlPr>
              <w:rPr>
                <w:rFonts w:ascii="Cambria Math" w:hAnsi="Cambria Math"/>
                <w:i/>
              </w:rPr>
            </m:ctrlPr>
          </m:sSubPr>
          <m:e>
            <m:r>
              <w:rPr>
                <w:rFonts w:ascii="Cambria Math" w:hAnsi="Cambria Math"/>
              </w:rPr>
              <m:t>V</m:t>
            </m:r>
          </m:e>
          <m:sub>
            <m:r>
              <w:rPr>
                <w:rFonts w:ascii="Cambria Math" w:hAnsi="Cambria Math"/>
              </w:rPr>
              <m:t>t</m:t>
            </m:r>
          </m:sub>
        </m:sSub>
      </m:oMath>
      <w:r w:rsidRPr="00AE57ED">
        <w:t xml:space="preserve"> are both vectors that are constrained to be non-negative. The interpretation is again intuitive. For the physical network, </w:t>
      </w:r>
      <m:oMath>
        <m:sSub>
          <m:sSubPr>
            <m:ctrlPr>
              <w:rPr>
                <w:rFonts w:ascii="Cambria Math" w:hAnsi="Cambria Math"/>
                <w:i/>
              </w:rPr>
            </m:ctrlPr>
          </m:sSubPr>
          <m:e>
            <m:r>
              <w:rPr>
                <w:rFonts w:ascii="Cambria Math" w:hAnsi="Cambria Math"/>
              </w:rPr>
              <m:t>U</m:t>
            </m:r>
          </m:e>
          <m:sub>
            <m:r>
              <w:rPr>
                <w:rFonts w:ascii="Cambria Math" w:hAnsi="Cambria Math"/>
              </w:rPr>
              <m:t>t</m:t>
            </m:r>
          </m:sub>
        </m:sSub>
      </m:oMath>
      <w:r w:rsidRPr="00AE57ED">
        <w:t xml:space="preserve"> measures importance to selling (outgoing edges) and </w:t>
      </w:r>
      <m:oMath>
        <m:sSub>
          <m:sSubPr>
            <m:ctrlPr>
              <w:rPr>
                <w:rFonts w:ascii="Cambria Math" w:hAnsi="Cambria Math"/>
                <w:i/>
              </w:rPr>
            </m:ctrlPr>
          </m:sSubPr>
          <m:e>
            <m:r>
              <w:rPr>
                <w:rFonts w:ascii="Cambria Math" w:hAnsi="Cambria Math"/>
              </w:rPr>
              <m:t>V</m:t>
            </m:r>
          </m:e>
          <m:sub>
            <m:r>
              <w:rPr>
                <w:rFonts w:ascii="Cambria Math" w:hAnsi="Cambria Math"/>
              </w:rPr>
              <m:t>t</m:t>
            </m:r>
          </m:sub>
        </m:sSub>
      </m:oMath>
      <w:r w:rsidRPr="00AE57ED">
        <w:t xml:space="preserve"> to buying (incoming edges). For the correlation network, </w:t>
      </w:r>
      <m:oMath>
        <m:sSub>
          <m:sSubPr>
            <m:ctrlPr>
              <w:rPr>
                <w:rFonts w:ascii="Cambria Math" w:hAnsi="Cambria Math"/>
                <w:i/>
              </w:rPr>
            </m:ctrlPr>
          </m:sSubPr>
          <m:e>
            <m:r>
              <w:rPr>
                <w:rFonts w:ascii="Cambria Math" w:hAnsi="Cambria Math"/>
              </w:rPr>
              <m:t>U</m:t>
            </m:r>
          </m:e>
          <m:sub>
            <m:r>
              <w:rPr>
                <w:rFonts w:ascii="Cambria Math" w:hAnsi="Cambria Math"/>
              </w:rPr>
              <m:t>t</m:t>
            </m:r>
          </m:sub>
        </m:sSub>
      </m:oMath>
      <w:r w:rsidRPr="00AE57ED">
        <w:t xml:space="preserve"> measures importance of banks whose returns are predictive of other bank returns (outgoing edges), and </w:t>
      </w:r>
      <m:oMath>
        <m:sSub>
          <m:sSubPr>
            <m:ctrlPr>
              <w:rPr>
                <w:rFonts w:ascii="Cambria Math" w:hAnsi="Cambria Math"/>
                <w:i/>
              </w:rPr>
            </m:ctrlPr>
          </m:sSubPr>
          <m:e>
            <m:r>
              <w:rPr>
                <w:rFonts w:ascii="Cambria Math" w:hAnsi="Cambria Math"/>
              </w:rPr>
              <m:t>V</m:t>
            </m:r>
          </m:e>
          <m:sub>
            <m:r>
              <w:rPr>
                <w:rFonts w:ascii="Cambria Math" w:hAnsi="Cambria Math"/>
              </w:rPr>
              <m:t>t</m:t>
            </m:r>
          </m:sub>
        </m:sSub>
      </m:oMath>
      <w:r w:rsidRPr="00AE57ED">
        <w:t xml:space="preserve"> to banks whose stock returns are predicted by other banks’ stock returns (incoming edges).</w:t>
      </w:r>
    </w:p>
    <w:p w14:paraId="5B94CC60" w14:textId="77777777" w:rsidR="00537A20" w:rsidRPr="00AE57ED" w:rsidRDefault="00537A20" w:rsidP="00537A20">
      <w:pPr>
        <w:pStyle w:val="NormalWeb"/>
        <w:spacing w:before="0" w:beforeAutospacing="0" w:after="0" w:afterAutospacing="0"/>
      </w:pPr>
    </w:p>
    <w:p w14:paraId="458988C6" w14:textId="7671539E" w:rsidR="00537A20" w:rsidRPr="00537A20" w:rsidRDefault="00537A20" w:rsidP="00537A20">
      <w:pPr>
        <w:jc w:val="both"/>
        <w:rPr>
          <w:sz w:val="28"/>
          <w:szCs w:val="28"/>
        </w:rPr>
      </w:pPr>
      <w:r w:rsidRPr="00AE57ED">
        <w:t xml:space="preserve">To minimize the objective function and obtain the centrality measures, gradient descent algorithms standard for matrix factorization can be </w:t>
      </w:r>
      <w:r>
        <w:t>utilized</w:t>
      </w:r>
      <w:r w:rsidRPr="00AE57ED">
        <w:t>. Extensive discussion, including estimation and other implementation details, can be found in Mankad and Michailidis (2013) and Mankad, Michailidis, and Brunetti (2014).</w:t>
      </w:r>
    </w:p>
    <w:sectPr w:rsidR="00537A20" w:rsidRPr="00537A20" w:rsidSect="003E19B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11AD6D" w14:textId="77777777" w:rsidR="009D68E3" w:rsidRDefault="009D68E3" w:rsidP="001517AE">
      <w:r>
        <w:separator/>
      </w:r>
    </w:p>
  </w:endnote>
  <w:endnote w:type="continuationSeparator" w:id="0">
    <w:p w14:paraId="6B28B85A" w14:textId="77777777" w:rsidR="009D68E3" w:rsidRDefault="009D68E3" w:rsidP="00151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119112"/>
      <w:docPartObj>
        <w:docPartGallery w:val="Page Numbers (Bottom of Page)"/>
        <w:docPartUnique/>
      </w:docPartObj>
    </w:sdtPr>
    <w:sdtEndPr>
      <w:rPr>
        <w:noProof/>
      </w:rPr>
    </w:sdtEndPr>
    <w:sdtContent>
      <w:p w14:paraId="5897E9F8" w14:textId="794905C4" w:rsidR="00A71B36" w:rsidRDefault="00A71B36">
        <w:pPr>
          <w:pStyle w:val="Footer"/>
          <w:jc w:val="center"/>
        </w:pPr>
        <w:r>
          <w:fldChar w:fldCharType="begin"/>
        </w:r>
        <w:r>
          <w:instrText xml:space="preserve"> PAGE   \* MERGEFORMAT </w:instrText>
        </w:r>
        <w:r>
          <w:fldChar w:fldCharType="separate"/>
        </w:r>
        <w:r w:rsidR="005D67C7">
          <w:rPr>
            <w:noProof/>
          </w:rPr>
          <w:t>20</w:t>
        </w:r>
        <w:r>
          <w:rPr>
            <w:noProof/>
          </w:rPr>
          <w:fldChar w:fldCharType="end"/>
        </w:r>
      </w:p>
    </w:sdtContent>
  </w:sdt>
  <w:p w14:paraId="34B2D2B4" w14:textId="77777777" w:rsidR="00A71B36" w:rsidRDefault="00A71B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8937477"/>
      <w:docPartObj>
        <w:docPartGallery w:val="Page Numbers (Bottom of Page)"/>
        <w:docPartUnique/>
      </w:docPartObj>
    </w:sdtPr>
    <w:sdtEndPr>
      <w:rPr>
        <w:noProof/>
      </w:rPr>
    </w:sdtEndPr>
    <w:sdtContent>
      <w:p w14:paraId="47BB5801" w14:textId="77777777" w:rsidR="00A71B36" w:rsidRDefault="00A71B36">
        <w:pPr>
          <w:pStyle w:val="Footer"/>
          <w:jc w:val="center"/>
        </w:pPr>
        <w:r>
          <w:fldChar w:fldCharType="begin"/>
        </w:r>
        <w:r>
          <w:instrText xml:space="preserve"> PAGE   \* MERGEFORMAT </w:instrText>
        </w:r>
        <w:r>
          <w:fldChar w:fldCharType="separate"/>
        </w:r>
        <w:r w:rsidR="005D67C7">
          <w:rPr>
            <w:noProof/>
          </w:rPr>
          <w:t>37</w:t>
        </w:r>
        <w:r>
          <w:rPr>
            <w:noProof/>
          </w:rPr>
          <w:fldChar w:fldCharType="end"/>
        </w:r>
      </w:p>
    </w:sdtContent>
  </w:sdt>
  <w:p w14:paraId="792BF8CC" w14:textId="77777777" w:rsidR="00A71B36" w:rsidRDefault="00A71B3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7253736"/>
      <w:docPartObj>
        <w:docPartGallery w:val="Page Numbers (Bottom of Page)"/>
        <w:docPartUnique/>
      </w:docPartObj>
    </w:sdtPr>
    <w:sdtEndPr>
      <w:rPr>
        <w:noProof/>
      </w:rPr>
    </w:sdtEndPr>
    <w:sdtContent>
      <w:p w14:paraId="336D82DF" w14:textId="77777777" w:rsidR="00A71B36" w:rsidRDefault="00A71B36">
        <w:pPr>
          <w:pStyle w:val="Footer"/>
          <w:jc w:val="center"/>
        </w:pPr>
        <w:r>
          <w:fldChar w:fldCharType="begin"/>
        </w:r>
        <w:r>
          <w:instrText xml:space="preserve"> PAGE   \* MERGEFORMAT </w:instrText>
        </w:r>
        <w:r>
          <w:fldChar w:fldCharType="separate"/>
        </w:r>
        <w:r w:rsidR="005D67C7">
          <w:rPr>
            <w:noProof/>
          </w:rPr>
          <w:t>40</w:t>
        </w:r>
        <w:r>
          <w:rPr>
            <w:noProof/>
          </w:rPr>
          <w:fldChar w:fldCharType="end"/>
        </w:r>
      </w:p>
    </w:sdtContent>
  </w:sdt>
  <w:p w14:paraId="0B426BD3" w14:textId="77777777" w:rsidR="00A71B36" w:rsidRDefault="00A71B3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1141150"/>
      <w:docPartObj>
        <w:docPartGallery w:val="Page Numbers (Bottom of Page)"/>
        <w:docPartUnique/>
      </w:docPartObj>
    </w:sdtPr>
    <w:sdtEndPr>
      <w:rPr>
        <w:noProof/>
      </w:rPr>
    </w:sdtEndPr>
    <w:sdtContent>
      <w:p w14:paraId="592E7A59" w14:textId="77777777" w:rsidR="00A71B36" w:rsidRDefault="00A71B36">
        <w:pPr>
          <w:pStyle w:val="Footer"/>
          <w:jc w:val="center"/>
        </w:pPr>
        <w:r>
          <w:fldChar w:fldCharType="begin"/>
        </w:r>
        <w:r>
          <w:instrText xml:space="preserve"> PAGE   \* MERGEFORMAT </w:instrText>
        </w:r>
        <w:r>
          <w:fldChar w:fldCharType="separate"/>
        </w:r>
        <w:r w:rsidR="00F970C4">
          <w:rPr>
            <w:noProof/>
          </w:rPr>
          <w:t>45</w:t>
        </w:r>
        <w:r>
          <w:rPr>
            <w:noProof/>
          </w:rPr>
          <w:fldChar w:fldCharType="end"/>
        </w:r>
      </w:p>
    </w:sdtContent>
  </w:sdt>
  <w:p w14:paraId="67188385" w14:textId="77777777" w:rsidR="00A71B36" w:rsidRDefault="00A71B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FF17F6" w14:textId="77777777" w:rsidR="009D68E3" w:rsidRDefault="009D68E3" w:rsidP="001517AE">
      <w:r>
        <w:separator/>
      </w:r>
    </w:p>
  </w:footnote>
  <w:footnote w:type="continuationSeparator" w:id="0">
    <w:p w14:paraId="41980CAB" w14:textId="77777777" w:rsidR="009D68E3" w:rsidRDefault="009D68E3" w:rsidP="001517AE">
      <w:r>
        <w:continuationSeparator/>
      </w:r>
    </w:p>
  </w:footnote>
  <w:footnote w:id="1">
    <w:p w14:paraId="303E6A32" w14:textId="64DD4404" w:rsidR="00A71B36" w:rsidRDefault="00A71B36">
      <w:pPr>
        <w:pStyle w:val="FootnoteText"/>
      </w:pPr>
      <w:r>
        <w:rPr>
          <w:rStyle w:val="FootnoteReference"/>
        </w:rPr>
        <w:footnoteRef/>
      </w:r>
      <w:r>
        <w:t xml:space="preserve"> S</w:t>
      </w:r>
      <w:r w:rsidRPr="002C2464">
        <w:t>ee</w:t>
      </w:r>
      <w:r w:rsidR="00221D7C">
        <w:t>, for instance,</w:t>
      </w:r>
      <w:r w:rsidRPr="002C2464">
        <w:t xml:space="preserve"> </w:t>
      </w:r>
      <w:r>
        <w:t>Acharya, Shin, and Yorulmazer (2010), Heider, Hoerova, and Holthausen (2</w:t>
      </w:r>
      <w:r w:rsidRPr="002C2464">
        <w:t>010</w:t>
      </w:r>
      <w:r w:rsidR="00221D7C">
        <w:t>,</w:t>
      </w:r>
      <w:r>
        <w:t xml:space="preserve"> </w:t>
      </w:r>
      <w:r w:rsidR="00221D7C" w:rsidRPr="00221D7C">
        <w:t>Ashcraft, McAndrews and Skeie (2011)</w:t>
      </w:r>
      <w:r w:rsidR="00221D7C">
        <w:t>,</w:t>
      </w:r>
      <w:r>
        <w:t xml:space="preserve"> </w:t>
      </w:r>
      <w:r w:rsidRPr="002C2464">
        <w:t>Acharya and Skeie (2011)</w:t>
      </w:r>
      <w:r w:rsidR="00221D7C">
        <w:t xml:space="preserve">, and </w:t>
      </w:r>
      <w:r w:rsidR="00221D7C" w:rsidRPr="00221D7C">
        <w:t>Acharya and Merrouche (2012</w:t>
      </w:r>
      <w:r w:rsidR="00221D7C">
        <w:t>).</w:t>
      </w:r>
    </w:p>
  </w:footnote>
  <w:footnote w:id="2">
    <w:p w14:paraId="19C7DD38" w14:textId="77777777" w:rsidR="00A71B36" w:rsidRDefault="00A71B36" w:rsidP="00E57A69">
      <w:pPr>
        <w:pStyle w:val="FootnoteText"/>
      </w:pPr>
      <w:r w:rsidRPr="00F71E35">
        <w:rPr>
          <w:rStyle w:val="FootnoteReference"/>
        </w:rPr>
        <w:footnoteRef/>
      </w:r>
      <w:r w:rsidRPr="00B661BA">
        <w:t xml:space="preserve"> </w:t>
      </w:r>
      <w:r>
        <w:t xml:space="preserve">Interconnectedness is one of the five (equally-important) characteristics used by the European Union to determine globally systemic important banks, or </w:t>
      </w:r>
      <w:r w:rsidRPr="00B661BA">
        <w:t>G-SIBs</w:t>
      </w:r>
      <w:r>
        <w:t xml:space="preserve"> (BIS (2011)).</w:t>
      </w:r>
    </w:p>
  </w:footnote>
  <w:footnote w:id="3">
    <w:p w14:paraId="57C6A08E" w14:textId="77777777" w:rsidR="00433061" w:rsidRDefault="00433061" w:rsidP="00433061">
      <w:pPr>
        <w:pStyle w:val="FootnoteText"/>
      </w:pPr>
      <w:r>
        <w:rPr>
          <w:rStyle w:val="FootnoteReference"/>
        </w:rPr>
        <w:footnoteRef/>
      </w:r>
      <w:r>
        <w:t xml:space="preserve"> See </w:t>
      </w:r>
      <w:r w:rsidRPr="002676A3">
        <w:t xml:space="preserve">Puliga, </w:t>
      </w:r>
      <w:r>
        <w:t xml:space="preserve">Caldarelli </w:t>
      </w:r>
      <w:r w:rsidRPr="002676A3">
        <w:t>and Battiston</w:t>
      </w:r>
      <w:r>
        <w:t xml:space="preserve"> (2014).</w:t>
      </w:r>
    </w:p>
  </w:footnote>
  <w:footnote w:id="4">
    <w:p w14:paraId="7E961DEE" w14:textId="7C88B9C1" w:rsidR="00F970C4" w:rsidRDefault="00F970C4">
      <w:pPr>
        <w:pStyle w:val="FootnoteText"/>
      </w:pPr>
      <w:r>
        <w:rPr>
          <w:rStyle w:val="FootnoteReference"/>
        </w:rPr>
        <w:footnoteRef/>
      </w:r>
      <w:r>
        <w:t xml:space="preserve"> See also </w:t>
      </w:r>
      <w:r w:rsidRPr="00F970C4">
        <w:t>Upper</w:t>
      </w:r>
      <w:r>
        <w:t xml:space="preserve"> (</w:t>
      </w:r>
      <w:r w:rsidRPr="00F970C4">
        <w:t>2006</w:t>
      </w:r>
      <w:r>
        <w:t>).</w:t>
      </w:r>
    </w:p>
  </w:footnote>
  <w:footnote w:id="5">
    <w:p w14:paraId="18ECB706" w14:textId="0143E65D" w:rsidR="007F49BF" w:rsidRDefault="007F49BF">
      <w:pPr>
        <w:pStyle w:val="FootnoteText"/>
      </w:pPr>
      <w:r>
        <w:rPr>
          <w:rStyle w:val="FootnoteReference"/>
        </w:rPr>
        <w:footnoteRef/>
      </w:r>
      <w:r>
        <w:t xml:space="preserve"> </w:t>
      </w:r>
      <w:r w:rsidR="003C36BA">
        <w:t xml:space="preserve">See also </w:t>
      </w:r>
      <w:r w:rsidR="003C36BA">
        <w:rPr>
          <w:rFonts w:eastAsia="Calibri" w:cs="Times New Roman"/>
        </w:rPr>
        <w:t>Allen</w:t>
      </w:r>
      <w:r w:rsidR="003C36BA">
        <w:rPr>
          <w:rFonts w:eastAsia="Calibri" w:cs="Times New Roman"/>
        </w:rPr>
        <w:t xml:space="preserve"> and Babus</w:t>
      </w:r>
      <w:r w:rsidR="003C36BA" w:rsidRPr="002253A7">
        <w:rPr>
          <w:rFonts w:eastAsia="Calibri" w:cs="Times New Roman"/>
        </w:rPr>
        <w:t xml:space="preserve"> </w:t>
      </w:r>
      <w:r w:rsidR="003C36BA">
        <w:rPr>
          <w:rFonts w:eastAsia="Calibri" w:cs="Times New Roman"/>
        </w:rPr>
        <w:t>(</w:t>
      </w:r>
      <w:r w:rsidR="003C36BA" w:rsidRPr="002253A7">
        <w:rPr>
          <w:rFonts w:eastAsia="Calibri" w:cs="Times New Roman"/>
        </w:rPr>
        <w:t>2010</w:t>
      </w:r>
      <w:r w:rsidR="003C36BA">
        <w:rPr>
          <w:rFonts w:eastAsia="Calibri" w:cs="Times New Roman"/>
        </w:rPr>
        <w:t xml:space="preserve">) and Allen, Babus and Carletti (2010). </w:t>
      </w:r>
      <w:r>
        <w:t xml:space="preserve">In related work </w:t>
      </w:r>
      <w:r w:rsidRPr="007F49BF">
        <w:t xml:space="preserve">Roukny, Bersini, Pirotte, Caldarelli and Battiston (2013) analyze </w:t>
      </w:r>
      <w:r>
        <w:t xml:space="preserve">bank </w:t>
      </w:r>
      <w:r w:rsidRPr="007F49BF">
        <w:t>network topology</w:t>
      </w:r>
      <w:r>
        <w:t xml:space="preserve"> and find </w:t>
      </w:r>
      <w:r w:rsidRPr="007F49BF">
        <w:t>that topology matters only when the market is illiquid.</w:t>
      </w:r>
    </w:p>
  </w:footnote>
  <w:footnote w:id="6">
    <w:p w14:paraId="11A657B8" w14:textId="000D42A0" w:rsidR="00A71B36" w:rsidRDefault="00A71B36" w:rsidP="00475890">
      <w:pPr>
        <w:pStyle w:val="FootnoteText"/>
        <w:jc w:val="both"/>
      </w:pPr>
      <w:r>
        <w:rPr>
          <w:rStyle w:val="FootnoteReference"/>
        </w:rPr>
        <w:footnoteRef/>
      </w:r>
      <w:r>
        <w:t xml:space="preserve"> We assume that banks have restrictions for cross holdings of equities. This assumption can be easily relaxed in our model.</w:t>
      </w:r>
    </w:p>
  </w:footnote>
  <w:footnote w:id="7">
    <w:p w14:paraId="02BBAE6F" w14:textId="2A83DCBC" w:rsidR="00A71B36" w:rsidRDefault="00A71B36" w:rsidP="00985C7B">
      <w:pPr>
        <w:pStyle w:val="FootnoteText"/>
        <w:jc w:val="both"/>
      </w:pPr>
      <w:r>
        <w:rPr>
          <w:rStyle w:val="FootnoteReference"/>
        </w:rPr>
        <w:footnoteRef/>
      </w:r>
      <w:r>
        <w:t xml:space="preserve"> </w:t>
      </w:r>
      <w:r w:rsidRPr="001C5B17">
        <w:t>Equation (6) has an interpretation similar to that in Elliott et al. (2014) and is based on the results in Brioschi, Buzzacchi and Colombo (1989) and Fedenia, Hodder and Triantis (1994).</w:t>
      </w:r>
      <w:r w:rsidRPr="00CB14F4">
        <w:t xml:space="preserve"> </w:t>
      </w:r>
      <w:r>
        <w:t>De Vries (2005) offers an interesting interpretation of (6): “The fortunes of the banking sector as indicated by the balance sheet items, are sooner or later also reflected in the value of bank equity. This enables us to characterize systemic failure in terms of the joint bank equity price movements, which are driven by the interdependent bank portfolios.” (p.2).</w:t>
      </w:r>
    </w:p>
  </w:footnote>
  <w:footnote w:id="8">
    <w:p w14:paraId="07A8C4CF" w14:textId="1D1906B4" w:rsidR="00A71B36" w:rsidRDefault="00A71B36" w:rsidP="00985C7B">
      <w:pPr>
        <w:pStyle w:val="FootnoteText"/>
        <w:jc w:val="both"/>
      </w:pPr>
      <w:r>
        <w:rPr>
          <w:rStyle w:val="FootnoteReference"/>
        </w:rPr>
        <w:footnoteRef/>
      </w:r>
      <w:r>
        <w:t xml:space="preserve"> </w:t>
      </w:r>
      <w:r w:rsidRPr="00CB14F4">
        <w:t xml:space="preserve">Barigozzi and Brownlees (2013) </w:t>
      </w:r>
      <w:r>
        <w:t>construct networks</w:t>
      </w:r>
      <w:r w:rsidRPr="00CB14F4">
        <w:t xml:space="preserve"> where edges are based on long run partial correlation</w:t>
      </w:r>
      <w:r>
        <w:t>s</w:t>
      </w:r>
      <w:r w:rsidRPr="00CB14F4">
        <w:t>.</w:t>
      </w:r>
      <w:r>
        <w:t xml:space="preserve"> Likewise,</w:t>
      </w:r>
      <w:r w:rsidRPr="00CB14F4">
        <w:t xml:space="preserve"> Diebold and Yilmaz (2014) propose several measures of interconnectedness based on the decomposition of the variance-covariance matrix. They show that these measures of interconnectedness are linked to key measures of connectedness used in the network literature. </w:t>
      </w:r>
    </w:p>
  </w:footnote>
  <w:footnote w:id="9">
    <w:p w14:paraId="57840CFA" w14:textId="77777777" w:rsidR="00553405" w:rsidRDefault="00553405" w:rsidP="00553405">
      <w:pPr>
        <w:pStyle w:val="FootnoteText"/>
      </w:pPr>
      <w:r>
        <w:rPr>
          <w:rStyle w:val="FootnoteReference"/>
        </w:rPr>
        <w:footnoteRef/>
      </w:r>
      <w:r>
        <w:t xml:space="preserve"> </w:t>
      </w:r>
      <w:r w:rsidRPr="00014C69">
        <w:t xml:space="preserve">Moreover, </w:t>
      </w:r>
      <w:r>
        <w:t>Granger-causality network</w:t>
      </w:r>
      <w:r w:rsidRPr="00014C69">
        <w:t xml:space="preserve">s require longer </w:t>
      </w:r>
      <w:r>
        <w:t>sample</w:t>
      </w:r>
      <w:r w:rsidRPr="00014C69">
        <w:t xml:space="preserve"> periods since they </w:t>
      </w:r>
      <w:r>
        <w:t>are the result of an estimation procedure</w:t>
      </w:r>
      <w:r w:rsidRPr="00014C69">
        <w:t>.</w:t>
      </w:r>
    </w:p>
  </w:footnote>
  <w:footnote w:id="10">
    <w:p w14:paraId="0AD9D15E" w14:textId="6248EDD8" w:rsidR="00553405" w:rsidRDefault="00553405" w:rsidP="00553405">
      <w:pPr>
        <w:pStyle w:val="FootnoteText"/>
        <w:jc w:val="both"/>
      </w:pPr>
      <w:r>
        <w:rPr>
          <w:rStyle w:val="FootnoteReference"/>
        </w:rPr>
        <w:footnoteRef/>
      </w:r>
      <w:r>
        <w:t xml:space="preserve"> </w:t>
      </w:r>
      <w:r w:rsidR="00DC256D" w:rsidRPr="00CF0AE7">
        <w:t>The e-MID platform is the only electronic market for interbank deposits in the Euro region</w:t>
      </w:r>
      <w:r w:rsidR="00DC256D">
        <w:t xml:space="preserve"> and </w:t>
      </w:r>
      <w:r w:rsidR="00DC256D" w:rsidRPr="00CF0AE7">
        <w:t>offers a comprehensive view of interbank l</w:t>
      </w:r>
      <w:r w:rsidR="00DC256D">
        <w:t xml:space="preserve">oans ranging from overnight (one </w:t>
      </w:r>
      <w:r w:rsidR="00DC256D" w:rsidRPr="005220C3">
        <w:t xml:space="preserve">day) to two years in duration, with overnight contracts representing about 90% of the total </w:t>
      </w:r>
      <w:r w:rsidR="00DC256D">
        <w:t>volume during our sample period (</w:t>
      </w:r>
      <w:r w:rsidR="00DC256D">
        <w:t>see Brunetti, diFillippo and Harris (2011)</w:t>
      </w:r>
      <w:r w:rsidR="00DC256D">
        <w:t>)</w:t>
      </w:r>
      <w:r w:rsidR="00DC256D">
        <w:t>.</w:t>
      </w:r>
      <w:r w:rsidRPr="00553405">
        <w:t xml:space="preserve"> </w:t>
      </w:r>
      <w:r>
        <w:t>The e-Mid web page currently notes “According to the ‘Euro Money Market Study 2006’</w:t>
      </w:r>
      <w:r w:rsidRPr="003A2CBA">
        <w:t xml:space="preserve"> published by the European Central Bank in February 2007, e-MID accounts for 17% of total turnover in unsecured money market in the Euro Area.”</w:t>
      </w:r>
      <w:r w:rsidR="00DC256D" w:rsidRPr="00DC256D">
        <w:t xml:space="preserve"> </w:t>
      </w:r>
      <w:r w:rsidR="00DC256D">
        <w:t>European banks also trade bilaterally, via phone brokers, and with the European Central Bank directly</w:t>
      </w:r>
    </w:p>
  </w:footnote>
  <w:footnote w:id="11">
    <w:p w14:paraId="0552BA6B" w14:textId="38CB80A5" w:rsidR="00A71B36" w:rsidRDefault="00A71B36">
      <w:pPr>
        <w:pStyle w:val="FootnoteText"/>
      </w:pPr>
      <w:r>
        <w:rPr>
          <w:rStyle w:val="FootnoteReference"/>
        </w:rPr>
        <w:footnoteRef/>
      </w:r>
      <w:r>
        <w:t xml:space="preserve"> </w:t>
      </w:r>
      <w:r w:rsidR="00553405" w:rsidRPr="00553405">
        <w:t xml:space="preserve">Recent works in network analysis show that metrics calculated from partial networks can have significant bias and loss of information </w:t>
      </w:r>
      <w:r w:rsidRPr="003A5106">
        <w:t xml:space="preserve">For instance, Achlioptas et al. (2009) show that sampling a network according to a breadth-first search leads to graphs that have biased properties. Handcock and Giles (2009) </w:t>
      </w:r>
      <w:r>
        <w:t xml:space="preserve">also </w:t>
      </w:r>
      <w:r w:rsidRPr="003A5106">
        <w:t xml:space="preserve">show that partially-observed network data can be used for valid statistical inference, but only under special sampling schemes that would be violated if we retain only the 29 banks. </w:t>
      </w:r>
      <w:r>
        <w:t xml:space="preserve">Similarly, </w:t>
      </w:r>
      <w:r w:rsidRPr="003A5106">
        <w:t>Chandrasekaran, Parrilo, and Willsky (2012) show that working with partial data often leads to bias for correlation networks.</w:t>
      </w:r>
    </w:p>
  </w:footnote>
  <w:footnote w:id="12">
    <w:p w14:paraId="18663B48" w14:textId="09D6ED13" w:rsidR="00A71B36" w:rsidRDefault="00A71B36" w:rsidP="00D5378B">
      <w:pPr>
        <w:pStyle w:val="FootnoteText"/>
        <w:jc w:val="both"/>
      </w:pPr>
      <w:r>
        <w:rPr>
          <w:rStyle w:val="FootnoteReference"/>
        </w:rPr>
        <w:footnoteRef/>
      </w:r>
      <w:r>
        <w:t xml:space="preserve"> The European crisis became more severe in 2011 and 2012 with very large Euro-area bank CDS premia and sovereign bond spreads for Greece, Ireland, Portugal, Spain and Italy relative to Germany.</w:t>
      </w:r>
    </w:p>
  </w:footnote>
  <w:footnote w:id="13">
    <w:p w14:paraId="284B2550" w14:textId="4AAAB8A1" w:rsidR="00A71B36" w:rsidRDefault="00A71B36" w:rsidP="00983590">
      <w:pPr>
        <w:pStyle w:val="FootnoteText"/>
        <w:jc w:val="both"/>
      </w:pPr>
      <w:r>
        <w:rPr>
          <w:rStyle w:val="FootnoteReference"/>
        </w:rPr>
        <w:footnoteRef/>
      </w:r>
      <w:r>
        <w:t xml:space="preserve"> Other research analyzing e-MID data in the context of network analysis includes </w:t>
      </w:r>
      <w:r w:rsidRPr="00983590">
        <w:t xml:space="preserve">Hatzopoulos, Iori, Mantegna, </w:t>
      </w:r>
      <w:r>
        <w:t xml:space="preserve">Micciche </w:t>
      </w:r>
      <w:r w:rsidRPr="00983590">
        <w:t>and Tumminello (2014)</w:t>
      </w:r>
      <w:r>
        <w:t>, Iori, Mantegna, Marotta, Micciche', Porter and Tumminello (</w:t>
      </w:r>
      <w:r w:rsidRPr="00983590">
        <w:t>2014)</w:t>
      </w:r>
      <w:r>
        <w:t xml:space="preserve">, </w:t>
      </w:r>
      <w:r w:rsidRPr="00983590">
        <w:t>Roukny, Bersini, Pirotte, Caldarelli</w:t>
      </w:r>
      <w:r>
        <w:t xml:space="preserve"> and</w:t>
      </w:r>
      <w:r w:rsidRPr="00983590">
        <w:t xml:space="preserve"> Battiston</w:t>
      </w:r>
      <w:r>
        <w:t xml:space="preserve"> (2013), and Delpini, Battiston, Riccaboni, Gabbi, Pammolli, Caldarelli (2013).</w:t>
      </w:r>
    </w:p>
  </w:footnote>
  <w:footnote w:id="14">
    <w:p w14:paraId="0A6DB3A6" w14:textId="4673FEFB" w:rsidR="00A71B36" w:rsidRDefault="00A71B36" w:rsidP="00FB61F3">
      <w:pPr>
        <w:pStyle w:val="FootnoteText"/>
        <w:jc w:val="both"/>
      </w:pPr>
      <w:r>
        <w:rPr>
          <w:rStyle w:val="FootnoteReference"/>
        </w:rPr>
        <w:footnoteRef/>
      </w:r>
      <w:r>
        <w:t xml:space="preserve"> Trade imbalance is computed as the difference between number of buys and number of sells, normalized by volume.</w:t>
      </w:r>
    </w:p>
  </w:footnote>
  <w:footnote w:id="15">
    <w:p w14:paraId="3C344860" w14:textId="11DA1C3E" w:rsidR="00A71B36" w:rsidRDefault="00A71B36" w:rsidP="00FB61F3">
      <w:pPr>
        <w:pStyle w:val="FootnoteText"/>
        <w:jc w:val="both"/>
      </w:pPr>
      <w:r>
        <w:rPr>
          <w:rStyle w:val="FootnoteReference"/>
        </w:rPr>
        <w:footnoteRef/>
      </w:r>
      <w:r>
        <w:t xml:space="preserve"> Signed volume is computed as the difference between aggressive buy volume and aggressive sell volume.</w:t>
      </w:r>
    </w:p>
  </w:footnote>
  <w:footnote w:id="16">
    <w:p w14:paraId="42AB7FB3" w14:textId="7F940A8A" w:rsidR="00A71B36" w:rsidRDefault="00A71B36" w:rsidP="00515119">
      <w:pPr>
        <w:pStyle w:val="FootnoteText"/>
        <w:jc w:val="both"/>
      </w:pPr>
      <w:r>
        <w:rPr>
          <w:rStyle w:val="FootnoteReference"/>
        </w:rPr>
        <w:footnoteRef/>
      </w:r>
      <w:r>
        <w:t xml:space="preserve"> </w:t>
      </w:r>
      <w:r w:rsidRPr="004228BB">
        <w:t xml:space="preserve">Since </w:t>
      </w:r>
      <w:r>
        <w:t xml:space="preserve">interbank trades are </w:t>
      </w:r>
      <w:r w:rsidRPr="004228BB">
        <w:t xml:space="preserve">directly observed, </w:t>
      </w:r>
      <w:r>
        <w:t xml:space="preserve">our physical </w:t>
      </w:r>
      <w:r w:rsidRPr="004228BB">
        <w:t xml:space="preserve">network is more </w:t>
      </w:r>
      <w:r>
        <w:t>similar to</w:t>
      </w:r>
      <w:r w:rsidRPr="004228BB">
        <w:t xml:space="preserve"> social networks, where a </w:t>
      </w:r>
      <w:r>
        <w:t xml:space="preserve">relationship exists between </w:t>
      </w:r>
      <w:r w:rsidRPr="004228BB">
        <w:t>node</w:t>
      </w:r>
      <w:r>
        <w:t>s</w:t>
      </w:r>
      <w:r w:rsidRPr="004228BB">
        <w:t xml:space="preserve"> </w:t>
      </w:r>
      <w:r>
        <w:t xml:space="preserve">(see </w:t>
      </w:r>
      <w:r w:rsidRPr="004228BB">
        <w:t>Newman (2010)</w:t>
      </w:r>
      <w:r>
        <w:t xml:space="preserve"> and</w:t>
      </w:r>
      <w:r w:rsidRPr="004228BB">
        <w:t xml:space="preserve"> Jackson (2010)</w:t>
      </w:r>
      <w:r>
        <w:t>)</w:t>
      </w:r>
      <w:r w:rsidRPr="004228BB">
        <w:t>.</w:t>
      </w:r>
    </w:p>
  </w:footnote>
  <w:footnote w:id="17">
    <w:p w14:paraId="484EC0BB" w14:textId="00756866" w:rsidR="00A71B36" w:rsidRDefault="00A71B36" w:rsidP="003B406E">
      <w:pPr>
        <w:pStyle w:val="FootnoteText"/>
        <w:jc w:val="both"/>
      </w:pPr>
      <w:r>
        <w:rPr>
          <w:rStyle w:val="FootnoteReference"/>
        </w:rPr>
        <w:footnoteRef/>
      </w:r>
      <w:r>
        <w:t xml:space="preserve"> Weighting the </w:t>
      </w:r>
      <w:r w:rsidRPr="00B306AA">
        <w:t xml:space="preserve">edge in </w:t>
      </w:r>
      <w:r>
        <w:t>the physical</w:t>
      </w:r>
      <w:r w:rsidRPr="00B306AA">
        <w:t xml:space="preserve"> network </w:t>
      </w:r>
      <w:r>
        <w:t xml:space="preserve">by volume </w:t>
      </w:r>
      <w:r w:rsidRPr="00B306AA">
        <w:t xml:space="preserve">does not </w:t>
      </w:r>
      <w:r>
        <w:t xml:space="preserve">change </w:t>
      </w:r>
      <w:r w:rsidRPr="00B306AA">
        <w:t xml:space="preserve">our main findings.  </w:t>
      </w:r>
    </w:p>
  </w:footnote>
  <w:footnote w:id="18">
    <w:p w14:paraId="2457C022" w14:textId="6ACF9A42" w:rsidR="00A71B36" w:rsidRDefault="00A71B36">
      <w:pPr>
        <w:pStyle w:val="FootnoteText"/>
      </w:pPr>
      <w:r>
        <w:rPr>
          <w:rStyle w:val="FootnoteReference"/>
        </w:rPr>
        <w:footnoteRef/>
      </w:r>
      <w:r>
        <w:t xml:space="preserve"> Similar results are obtained from the daily sampling frequency.</w:t>
      </w:r>
    </w:p>
  </w:footnote>
  <w:footnote w:id="19">
    <w:p w14:paraId="345323EB" w14:textId="07BCDE4E" w:rsidR="00A71B36" w:rsidRDefault="00A71B36">
      <w:pPr>
        <w:pStyle w:val="FootnoteText"/>
      </w:pPr>
      <w:r>
        <w:rPr>
          <w:rStyle w:val="FootnoteReference"/>
        </w:rPr>
        <w:footnoteRef/>
      </w:r>
      <w:r>
        <w:t xml:space="preserve"> </w:t>
      </w:r>
      <w:r w:rsidRPr="002C383F">
        <w:t>The key idea is to estimate a sequence of low-rank matrix decompositions of the adjacency matrix at each point in time to discover low-rank latent structure that characterizes the dynamics of the network.</w:t>
      </w:r>
      <w:r>
        <w:t xml:space="preserve"> </w:t>
      </w:r>
      <w:r w:rsidRPr="002C383F">
        <w:t>We briefly review this technique in the appendix.</w:t>
      </w:r>
    </w:p>
  </w:footnote>
  <w:footnote w:id="20">
    <w:p w14:paraId="22B4BE43" w14:textId="58C0247D" w:rsidR="00A71B36" w:rsidRDefault="00A71B36">
      <w:pPr>
        <w:pStyle w:val="FootnoteText"/>
      </w:pPr>
      <w:r>
        <w:rPr>
          <w:rStyle w:val="FootnoteReference"/>
        </w:rPr>
        <w:footnoteRef/>
      </w:r>
      <w:r>
        <w:t xml:space="preserve"> These data are available from the ECB website.</w:t>
      </w:r>
    </w:p>
  </w:footnote>
  <w:footnote w:id="21">
    <w:p w14:paraId="6317D08B" w14:textId="4917C9DC" w:rsidR="00A71B36" w:rsidRDefault="00A71B36">
      <w:pPr>
        <w:pStyle w:val="FootnoteText"/>
      </w:pPr>
      <w:r>
        <w:rPr>
          <w:rStyle w:val="FootnoteReference"/>
        </w:rPr>
        <w:footnoteRef/>
      </w:r>
      <w:r>
        <w:t xml:space="preserve"> </w:t>
      </w:r>
      <w:r w:rsidRPr="00B620B1">
        <w:t>The indices, on a given day, are weighted averages of the surprises or squared surprises from a set of macro releases, where the weights depend on the contribution of the associated real activity indicator to a business condition index.</w:t>
      </w:r>
    </w:p>
  </w:footnote>
  <w:footnote w:id="22">
    <w:p w14:paraId="5E36BA0D" w14:textId="683B92A8" w:rsidR="00A71B36" w:rsidRDefault="00A71B36">
      <w:pPr>
        <w:pStyle w:val="FootnoteText"/>
      </w:pPr>
      <w:r>
        <w:rPr>
          <w:rStyle w:val="FootnoteReference"/>
        </w:rPr>
        <w:footnoteRef/>
      </w:r>
      <w:r>
        <w:t xml:space="preserve"> </w:t>
      </w:r>
      <w:r w:rsidRPr="00015174">
        <w:t xml:space="preserve">The announcements variable is constructed </w:t>
      </w:r>
      <w:r w:rsidR="00DC256D">
        <w:t>from</w:t>
      </w:r>
      <w:r w:rsidRPr="00015174">
        <w:t xml:space="preserve"> Rogers, Scotti and Wright (2014)</w:t>
      </w:r>
      <w:r w:rsidR="004F3058">
        <w:t xml:space="preserve"> </w:t>
      </w:r>
      <w:r w:rsidR="004F3058" w:rsidRPr="00015174">
        <w:t xml:space="preserve">Table 3 </w:t>
      </w:r>
      <w:r w:rsidR="004F3058">
        <w:t>data</w:t>
      </w:r>
      <w:r>
        <w:t>.</w:t>
      </w:r>
    </w:p>
  </w:footnote>
  <w:footnote w:id="23">
    <w:p w14:paraId="58B830B1" w14:textId="1EB776A0" w:rsidR="00A71B36" w:rsidRDefault="00A71B36">
      <w:pPr>
        <w:pStyle w:val="FootnoteText"/>
      </w:pPr>
      <w:r>
        <w:rPr>
          <w:rStyle w:val="FootnoteReference"/>
        </w:rPr>
        <w:footnoteRef/>
      </w:r>
      <w:r>
        <w:t xml:space="preserve"> Results for equation (13) are very similar.</w:t>
      </w:r>
    </w:p>
  </w:footnote>
  <w:footnote w:id="24">
    <w:p w14:paraId="3CD1D363" w14:textId="0382CBD8" w:rsidR="00A71B36" w:rsidRDefault="00A71B36">
      <w:pPr>
        <w:pStyle w:val="FootnoteText"/>
      </w:pPr>
      <w:r>
        <w:rPr>
          <w:rStyle w:val="FootnoteReference"/>
        </w:rPr>
        <w:footnoteRef/>
      </w:r>
      <w:r>
        <w:t xml:space="preserve"> Similar results are obtained when estimating equation (13).</w:t>
      </w:r>
    </w:p>
  </w:footnote>
  <w:footnote w:id="25">
    <w:p w14:paraId="10B038B6" w14:textId="060387FA" w:rsidR="00A71B36" w:rsidRDefault="00A71B36">
      <w:pPr>
        <w:pStyle w:val="FootnoteText"/>
      </w:pPr>
      <w:r>
        <w:rPr>
          <w:rStyle w:val="FootnoteReference"/>
        </w:rPr>
        <w:footnoteRef/>
      </w:r>
      <w:r>
        <w:t xml:space="preserve"> </w:t>
      </w:r>
      <w:r w:rsidRPr="00C14FB2">
        <w:t xml:space="preserve">Bloom (2009), </w:t>
      </w:r>
      <w:r w:rsidR="004F3058">
        <w:t>e.g.</w:t>
      </w:r>
      <w:r w:rsidRPr="00C14FB2">
        <w:t>, shows that higher uncertainty causes firms to reduce investment and to hire fewer workers. Leduc and Liu (2012) provide evidence that uncertainty in the recent crisis has reduced economic activity</w:t>
      </w:r>
      <w:r w:rsidR="004F3058">
        <w:t xml:space="preserve"> and incrementally</w:t>
      </w:r>
      <w:r w:rsidRPr="00C14FB2">
        <w:t xml:space="preserve"> increased US unemployment by more than one percent.</w:t>
      </w:r>
    </w:p>
  </w:footnote>
  <w:footnote w:id="26">
    <w:p w14:paraId="00D5D1FA" w14:textId="68522A39" w:rsidR="00A71B36" w:rsidRDefault="00A71B36">
      <w:pPr>
        <w:pStyle w:val="FootnoteText"/>
      </w:pPr>
      <w:r>
        <w:rPr>
          <w:rStyle w:val="FootnoteReference"/>
        </w:rPr>
        <w:footnoteRef/>
      </w:r>
      <w:r>
        <w:t xml:space="preserve"> </w:t>
      </w:r>
      <w:r w:rsidRPr="00B6596A">
        <w:t>We obtain similar results when analyzing F-tests for the macro and ECB shocks in equation (13) where ECB shocks refer to ECB conventional and unconventional monetary policy announcements.</w:t>
      </w:r>
    </w:p>
  </w:footnote>
  <w:footnote w:id="27">
    <w:p w14:paraId="4FB642F0" w14:textId="59790E90" w:rsidR="00A71B36" w:rsidRDefault="00A71B36">
      <w:pPr>
        <w:pStyle w:val="FootnoteText"/>
      </w:pPr>
      <w:r>
        <w:rPr>
          <w:rStyle w:val="FootnoteReference"/>
        </w:rPr>
        <w:footnoteRef/>
      </w:r>
      <w:r>
        <w:t xml:space="preserve"> Similar results are obtained </w:t>
      </w:r>
      <w:r>
        <w:rPr>
          <w:rFonts w:eastAsiaTheme="minorEastAsia"/>
        </w:rPr>
        <w:t>for test-statistic corresponding to</w:t>
      </w:r>
      <w:r>
        <w:t xml:space="preserve"> the partial regression null hypothesis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5</m:t>
            </m:r>
          </m:sub>
        </m:sSub>
        <m:r>
          <w:rPr>
            <w:rFonts w:ascii="Cambria Math" w:hAnsi="Cambria Math"/>
          </w:rPr>
          <m:t>=0</m:t>
        </m:r>
        <m:r>
          <w:rPr>
            <w:rFonts w:ascii="Cambria Math" w:eastAsiaTheme="minorEastAsia"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4</m:t>
            </m:r>
          </m:sub>
        </m:sSub>
        <m:r>
          <w:rPr>
            <w:rFonts w:ascii="Cambria Math" w:hAnsi="Cambria Math"/>
          </w:rPr>
          <m:t>≠ 0</m:t>
        </m:r>
      </m:oMath>
      <w:r>
        <w:rPr>
          <w:rFonts w:eastAsiaTheme="minorEastAsia"/>
        </w:rPr>
        <w:t xml:space="preserve"> in equation (16).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451EF"/>
    <w:multiLevelType w:val="hybridMultilevel"/>
    <w:tmpl w:val="EA5ED604"/>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
    <w:nsid w:val="07AE4358"/>
    <w:multiLevelType w:val="hybridMultilevel"/>
    <w:tmpl w:val="7138E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36414F"/>
    <w:multiLevelType w:val="hybridMultilevel"/>
    <w:tmpl w:val="5AC22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6D378A"/>
    <w:multiLevelType w:val="hybridMultilevel"/>
    <w:tmpl w:val="582E4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AD4376"/>
    <w:multiLevelType w:val="hybridMultilevel"/>
    <w:tmpl w:val="A1ACC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3D5C29"/>
    <w:multiLevelType w:val="hybridMultilevel"/>
    <w:tmpl w:val="A17EC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6E24E7"/>
    <w:multiLevelType w:val="hybridMultilevel"/>
    <w:tmpl w:val="F5208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A373D8"/>
    <w:multiLevelType w:val="hybridMultilevel"/>
    <w:tmpl w:val="FAC64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BB552E"/>
    <w:multiLevelType w:val="hybridMultilevel"/>
    <w:tmpl w:val="84D0C02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317BD4"/>
    <w:multiLevelType w:val="hybridMultilevel"/>
    <w:tmpl w:val="AE244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500099"/>
    <w:multiLevelType w:val="hybridMultilevel"/>
    <w:tmpl w:val="12BC2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A46537"/>
    <w:multiLevelType w:val="hybridMultilevel"/>
    <w:tmpl w:val="BBC408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E90C3F"/>
    <w:multiLevelType w:val="hybridMultilevel"/>
    <w:tmpl w:val="1818AC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305590"/>
    <w:multiLevelType w:val="hybridMultilevel"/>
    <w:tmpl w:val="98463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2A09BD"/>
    <w:multiLevelType w:val="hybridMultilevel"/>
    <w:tmpl w:val="40CC4C62"/>
    <w:lvl w:ilvl="0" w:tplc="AB427266">
      <w:start w:val="1"/>
      <w:numFmt w:val="decimal"/>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7B0C461B"/>
    <w:multiLevelType w:val="hybridMultilevel"/>
    <w:tmpl w:val="C43A7A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2"/>
  </w:num>
  <w:num w:numId="4">
    <w:abstractNumId w:val="10"/>
  </w:num>
  <w:num w:numId="5">
    <w:abstractNumId w:val="11"/>
  </w:num>
  <w:num w:numId="6">
    <w:abstractNumId w:val="14"/>
  </w:num>
  <w:num w:numId="7">
    <w:abstractNumId w:val="13"/>
  </w:num>
  <w:num w:numId="8">
    <w:abstractNumId w:val="5"/>
  </w:num>
  <w:num w:numId="9">
    <w:abstractNumId w:val="9"/>
  </w:num>
  <w:num w:numId="10">
    <w:abstractNumId w:val="6"/>
  </w:num>
  <w:num w:numId="11">
    <w:abstractNumId w:val="12"/>
  </w:num>
  <w:num w:numId="12">
    <w:abstractNumId w:val="7"/>
  </w:num>
  <w:num w:numId="13">
    <w:abstractNumId w:val="8"/>
  </w:num>
  <w:num w:numId="14">
    <w:abstractNumId w:val="4"/>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5"/>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22A"/>
    <w:rsid w:val="00003929"/>
    <w:rsid w:val="000061EA"/>
    <w:rsid w:val="00010CDE"/>
    <w:rsid w:val="00013CD6"/>
    <w:rsid w:val="00014C69"/>
    <w:rsid w:val="00015174"/>
    <w:rsid w:val="00016CD3"/>
    <w:rsid w:val="0002197A"/>
    <w:rsid w:val="00022FF4"/>
    <w:rsid w:val="00023D3A"/>
    <w:rsid w:val="0002447B"/>
    <w:rsid w:val="000275A4"/>
    <w:rsid w:val="00027943"/>
    <w:rsid w:val="0003042D"/>
    <w:rsid w:val="000331D2"/>
    <w:rsid w:val="00036665"/>
    <w:rsid w:val="0004093F"/>
    <w:rsid w:val="00042BE9"/>
    <w:rsid w:val="00045032"/>
    <w:rsid w:val="000535B2"/>
    <w:rsid w:val="000606FF"/>
    <w:rsid w:val="000610E8"/>
    <w:rsid w:val="00067F82"/>
    <w:rsid w:val="00073CD9"/>
    <w:rsid w:val="000749BA"/>
    <w:rsid w:val="000767D1"/>
    <w:rsid w:val="0008054B"/>
    <w:rsid w:val="00082DFB"/>
    <w:rsid w:val="00085090"/>
    <w:rsid w:val="00091C54"/>
    <w:rsid w:val="00094E22"/>
    <w:rsid w:val="000A3D0D"/>
    <w:rsid w:val="000B535A"/>
    <w:rsid w:val="000B7A53"/>
    <w:rsid w:val="000B7EF5"/>
    <w:rsid w:val="000C3B5D"/>
    <w:rsid w:val="000D32E2"/>
    <w:rsid w:val="000D527E"/>
    <w:rsid w:val="000D5945"/>
    <w:rsid w:val="000D7325"/>
    <w:rsid w:val="000D7CD5"/>
    <w:rsid w:val="000E06B1"/>
    <w:rsid w:val="000E16A0"/>
    <w:rsid w:val="000E438C"/>
    <w:rsid w:val="000E6888"/>
    <w:rsid w:val="000E7A78"/>
    <w:rsid w:val="000F2CE9"/>
    <w:rsid w:val="000F3EA8"/>
    <w:rsid w:val="000F4DA8"/>
    <w:rsid w:val="000F7A73"/>
    <w:rsid w:val="00102704"/>
    <w:rsid w:val="00102816"/>
    <w:rsid w:val="00114CED"/>
    <w:rsid w:val="00115227"/>
    <w:rsid w:val="0011535A"/>
    <w:rsid w:val="0011652C"/>
    <w:rsid w:val="00117947"/>
    <w:rsid w:val="00117BB9"/>
    <w:rsid w:val="001204D5"/>
    <w:rsid w:val="00126EF9"/>
    <w:rsid w:val="00130D15"/>
    <w:rsid w:val="0013104E"/>
    <w:rsid w:val="00131CF8"/>
    <w:rsid w:val="00133EFA"/>
    <w:rsid w:val="0013551F"/>
    <w:rsid w:val="001363B4"/>
    <w:rsid w:val="00136C33"/>
    <w:rsid w:val="00137A65"/>
    <w:rsid w:val="00141294"/>
    <w:rsid w:val="001517AE"/>
    <w:rsid w:val="00161338"/>
    <w:rsid w:val="001616AF"/>
    <w:rsid w:val="00165130"/>
    <w:rsid w:val="001708FF"/>
    <w:rsid w:val="00170F72"/>
    <w:rsid w:val="0017211E"/>
    <w:rsid w:val="0017702E"/>
    <w:rsid w:val="001853B6"/>
    <w:rsid w:val="0018684F"/>
    <w:rsid w:val="00187054"/>
    <w:rsid w:val="00194BB2"/>
    <w:rsid w:val="00196AB3"/>
    <w:rsid w:val="00197B85"/>
    <w:rsid w:val="001A12E8"/>
    <w:rsid w:val="001A297D"/>
    <w:rsid w:val="001A32FD"/>
    <w:rsid w:val="001A6807"/>
    <w:rsid w:val="001B0BE4"/>
    <w:rsid w:val="001B1888"/>
    <w:rsid w:val="001B3BFF"/>
    <w:rsid w:val="001B3FB7"/>
    <w:rsid w:val="001C0639"/>
    <w:rsid w:val="001C064B"/>
    <w:rsid w:val="001C22DB"/>
    <w:rsid w:val="001C25DA"/>
    <w:rsid w:val="001C3198"/>
    <w:rsid w:val="001C3CA2"/>
    <w:rsid w:val="001C5B17"/>
    <w:rsid w:val="001C6B3B"/>
    <w:rsid w:val="001C78BE"/>
    <w:rsid w:val="001D1ADF"/>
    <w:rsid w:val="001E031E"/>
    <w:rsid w:val="001E42E3"/>
    <w:rsid w:val="001E4A2E"/>
    <w:rsid w:val="001F5766"/>
    <w:rsid w:val="001F7327"/>
    <w:rsid w:val="001F740B"/>
    <w:rsid w:val="002023F1"/>
    <w:rsid w:val="002023F9"/>
    <w:rsid w:val="00206681"/>
    <w:rsid w:val="00210789"/>
    <w:rsid w:val="002112F2"/>
    <w:rsid w:val="002162D1"/>
    <w:rsid w:val="00221D7C"/>
    <w:rsid w:val="00225B67"/>
    <w:rsid w:val="00227174"/>
    <w:rsid w:val="002324E8"/>
    <w:rsid w:val="00236872"/>
    <w:rsid w:val="002368D5"/>
    <w:rsid w:val="00237353"/>
    <w:rsid w:val="00240092"/>
    <w:rsid w:val="00242D12"/>
    <w:rsid w:val="0024456F"/>
    <w:rsid w:val="00246A03"/>
    <w:rsid w:val="0024709E"/>
    <w:rsid w:val="00247E37"/>
    <w:rsid w:val="00256C35"/>
    <w:rsid w:val="002646BF"/>
    <w:rsid w:val="00266D9D"/>
    <w:rsid w:val="002676A3"/>
    <w:rsid w:val="00275233"/>
    <w:rsid w:val="00276021"/>
    <w:rsid w:val="00284C42"/>
    <w:rsid w:val="002858A5"/>
    <w:rsid w:val="0028750A"/>
    <w:rsid w:val="00293985"/>
    <w:rsid w:val="00294225"/>
    <w:rsid w:val="002973B5"/>
    <w:rsid w:val="002976A5"/>
    <w:rsid w:val="00297D79"/>
    <w:rsid w:val="002A0283"/>
    <w:rsid w:val="002A0E00"/>
    <w:rsid w:val="002A1C0F"/>
    <w:rsid w:val="002A3A26"/>
    <w:rsid w:val="002B2D47"/>
    <w:rsid w:val="002B3038"/>
    <w:rsid w:val="002B4DD2"/>
    <w:rsid w:val="002B5BF6"/>
    <w:rsid w:val="002C1D89"/>
    <w:rsid w:val="002C2464"/>
    <w:rsid w:val="002C2DC2"/>
    <w:rsid w:val="002C383F"/>
    <w:rsid w:val="002C5FBF"/>
    <w:rsid w:val="002D58C7"/>
    <w:rsid w:val="002D6EED"/>
    <w:rsid w:val="002E6760"/>
    <w:rsid w:val="002F1A14"/>
    <w:rsid w:val="002F62D5"/>
    <w:rsid w:val="002F7B86"/>
    <w:rsid w:val="00300748"/>
    <w:rsid w:val="00301169"/>
    <w:rsid w:val="00301966"/>
    <w:rsid w:val="003030E5"/>
    <w:rsid w:val="0030684E"/>
    <w:rsid w:val="0031350B"/>
    <w:rsid w:val="00314499"/>
    <w:rsid w:val="003145A6"/>
    <w:rsid w:val="003148D4"/>
    <w:rsid w:val="00314EC6"/>
    <w:rsid w:val="00314F69"/>
    <w:rsid w:val="00317597"/>
    <w:rsid w:val="00321BF1"/>
    <w:rsid w:val="00322285"/>
    <w:rsid w:val="00323CFF"/>
    <w:rsid w:val="003253DA"/>
    <w:rsid w:val="00326A99"/>
    <w:rsid w:val="00330069"/>
    <w:rsid w:val="00334410"/>
    <w:rsid w:val="00341D48"/>
    <w:rsid w:val="00342EF3"/>
    <w:rsid w:val="00350A37"/>
    <w:rsid w:val="00353788"/>
    <w:rsid w:val="00354742"/>
    <w:rsid w:val="00360CAD"/>
    <w:rsid w:val="003625E7"/>
    <w:rsid w:val="00363B62"/>
    <w:rsid w:val="00363D63"/>
    <w:rsid w:val="0036461E"/>
    <w:rsid w:val="00367A1F"/>
    <w:rsid w:val="0037146D"/>
    <w:rsid w:val="00372816"/>
    <w:rsid w:val="00372FD6"/>
    <w:rsid w:val="0037375B"/>
    <w:rsid w:val="00373C0E"/>
    <w:rsid w:val="00382070"/>
    <w:rsid w:val="003901D9"/>
    <w:rsid w:val="00393F1E"/>
    <w:rsid w:val="00394E9D"/>
    <w:rsid w:val="00395CC1"/>
    <w:rsid w:val="00396FB6"/>
    <w:rsid w:val="003A2CBA"/>
    <w:rsid w:val="003A5106"/>
    <w:rsid w:val="003B14C9"/>
    <w:rsid w:val="003B1A86"/>
    <w:rsid w:val="003B406E"/>
    <w:rsid w:val="003B4B75"/>
    <w:rsid w:val="003C1191"/>
    <w:rsid w:val="003C1FBE"/>
    <w:rsid w:val="003C3614"/>
    <w:rsid w:val="003C36BA"/>
    <w:rsid w:val="003C45F2"/>
    <w:rsid w:val="003C5967"/>
    <w:rsid w:val="003D7AF8"/>
    <w:rsid w:val="003E0D5F"/>
    <w:rsid w:val="003E12A2"/>
    <w:rsid w:val="003E12F0"/>
    <w:rsid w:val="003E12F2"/>
    <w:rsid w:val="003E19B8"/>
    <w:rsid w:val="003E44C8"/>
    <w:rsid w:val="003F0D2F"/>
    <w:rsid w:val="003F1B30"/>
    <w:rsid w:val="003F37E0"/>
    <w:rsid w:val="003F41BF"/>
    <w:rsid w:val="003F70E1"/>
    <w:rsid w:val="004015E7"/>
    <w:rsid w:val="004028EF"/>
    <w:rsid w:val="00403E1A"/>
    <w:rsid w:val="00404235"/>
    <w:rsid w:val="00406FDF"/>
    <w:rsid w:val="00410839"/>
    <w:rsid w:val="004127BD"/>
    <w:rsid w:val="00416C4F"/>
    <w:rsid w:val="00420217"/>
    <w:rsid w:val="004228BB"/>
    <w:rsid w:val="004232E7"/>
    <w:rsid w:val="0042498B"/>
    <w:rsid w:val="00425D09"/>
    <w:rsid w:val="004324A1"/>
    <w:rsid w:val="00433061"/>
    <w:rsid w:val="00433C0B"/>
    <w:rsid w:val="004348AD"/>
    <w:rsid w:val="00437FC9"/>
    <w:rsid w:val="0044266C"/>
    <w:rsid w:val="004434A8"/>
    <w:rsid w:val="0044353B"/>
    <w:rsid w:val="00443EBC"/>
    <w:rsid w:val="00446B01"/>
    <w:rsid w:val="00447112"/>
    <w:rsid w:val="00453352"/>
    <w:rsid w:val="00453DB5"/>
    <w:rsid w:val="00454B3B"/>
    <w:rsid w:val="004557F8"/>
    <w:rsid w:val="00460E59"/>
    <w:rsid w:val="004614CD"/>
    <w:rsid w:val="00464860"/>
    <w:rsid w:val="00470A22"/>
    <w:rsid w:val="0047110C"/>
    <w:rsid w:val="00472A76"/>
    <w:rsid w:val="00472C61"/>
    <w:rsid w:val="00474109"/>
    <w:rsid w:val="0047579A"/>
    <w:rsid w:val="00475890"/>
    <w:rsid w:val="0048342B"/>
    <w:rsid w:val="00486FEB"/>
    <w:rsid w:val="00490DBB"/>
    <w:rsid w:val="00491274"/>
    <w:rsid w:val="0049479B"/>
    <w:rsid w:val="004949F3"/>
    <w:rsid w:val="00497601"/>
    <w:rsid w:val="004A332F"/>
    <w:rsid w:val="004A6163"/>
    <w:rsid w:val="004B39A4"/>
    <w:rsid w:val="004C1177"/>
    <w:rsid w:val="004C2B5F"/>
    <w:rsid w:val="004C565F"/>
    <w:rsid w:val="004C6E5C"/>
    <w:rsid w:val="004C7154"/>
    <w:rsid w:val="004C736C"/>
    <w:rsid w:val="004D0AAA"/>
    <w:rsid w:val="004D1A46"/>
    <w:rsid w:val="004D257B"/>
    <w:rsid w:val="004D39EE"/>
    <w:rsid w:val="004D3EAA"/>
    <w:rsid w:val="004D44F6"/>
    <w:rsid w:val="004D4876"/>
    <w:rsid w:val="004D4F84"/>
    <w:rsid w:val="004D5C9A"/>
    <w:rsid w:val="004D5F33"/>
    <w:rsid w:val="004E3999"/>
    <w:rsid w:val="004E5C8E"/>
    <w:rsid w:val="004E66D5"/>
    <w:rsid w:val="004F0225"/>
    <w:rsid w:val="004F1458"/>
    <w:rsid w:val="004F163C"/>
    <w:rsid w:val="004F3058"/>
    <w:rsid w:val="004F3AE5"/>
    <w:rsid w:val="004F6611"/>
    <w:rsid w:val="004F6D4F"/>
    <w:rsid w:val="00500514"/>
    <w:rsid w:val="0050131E"/>
    <w:rsid w:val="00503518"/>
    <w:rsid w:val="00503540"/>
    <w:rsid w:val="00504F0D"/>
    <w:rsid w:val="0050711A"/>
    <w:rsid w:val="00507CD4"/>
    <w:rsid w:val="0051305A"/>
    <w:rsid w:val="00515119"/>
    <w:rsid w:val="005155EC"/>
    <w:rsid w:val="005202F2"/>
    <w:rsid w:val="00520A1D"/>
    <w:rsid w:val="005220C3"/>
    <w:rsid w:val="00525E5E"/>
    <w:rsid w:val="005267C3"/>
    <w:rsid w:val="00532E76"/>
    <w:rsid w:val="00533B16"/>
    <w:rsid w:val="00535415"/>
    <w:rsid w:val="00536CE3"/>
    <w:rsid w:val="005377F4"/>
    <w:rsid w:val="00537A20"/>
    <w:rsid w:val="00537D49"/>
    <w:rsid w:val="005402F7"/>
    <w:rsid w:val="00540C01"/>
    <w:rsid w:val="00545374"/>
    <w:rsid w:val="00550AB5"/>
    <w:rsid w:val="00553405"/>
    <w:rsid w:val="0055420F"/>
    <w:rsid w:val="005547BC"/>
    <w:rsid w:val="00557296"/>
    <w:rsid w:val="005616AB"/>
    <w:rsid w:val="00561DE9"/>
    <w:rsid w:val="0056699E"/>
    <w:rsid w:val="00576367"/>
    <w:rsid w:val="00582DCA"/>
    <w:rsid w:val="00584330"/>
    <w:rsid w:val="0059009F"/>
    <w:rsid w:val="00590E71"/>
    <w:rsid w:val="00592BE4"/>
    <w:rsid w:val="00593CF7"/>
    <w:rsid w:val="00594607"/>
    <w:rsid w:val="005A0D9A"/>
    <w:rsid w:val="005A2681"/>
    <w:rsid w:val="005A3033"/>
    <w:rsid w:val="005A3320"/>
    <w:rsid w:val="005A3452"/>
    <w:rsid w:val="005A5507"/>
    <w:rsid w:val="005B1D87"/>
    <w:rsid w:val="005C097D"/>
    <w:rsid w:val="005C211D"/>
    <w:rsid w:val="005C3805"/>
    <w:rsid w:val="005C6F94"/>
    <w:rsid w:val="005C7FC8"/>
    <w:rsid w:val="005D0FF0"/>
    <w:rsid w:val="005D290D"/>
    <w:rsid w:val="005D3B7D"/>
    <w:rsid w:val="005D4395"/>
    <w:rsid w:val="005D5158"/>
    <w:rsid w:val="005D51EE"/>
    <w:rsid w:val="005D62F7"/>
    <w:rsid w:val="005D67C7"/>
    <w:rsid w:val="005E0DFF"/>
    <w:rsid w:val="005E2D56"/>
    <w:rsid w:val="005E4808"/>
    <w:rsid w:val="005E5531"/>
    <w:rsid w:val="005E556A"/>
    <w:rsid w:val="005E609E"/>
    <w:rsid w:val="005E64D8"/>
    <w:rsid w:val="005E6B66"/>
    <w:rsid w:val="005E795C"/>
    <w:rsid w:val="005F12AE"/>
    <w:rsid w:val="005F7670"/>
    <w:rsid w:val="006003A4"/>
    <w:rsid w:val="00600C4D"/>
    <w:rsid w:val="006013C6"/>
    <w:rsid w:val="00606565"/>
    <w:rsid w:val="0061313A"/>
    <w:rsid w:val="006179BA"/>
    <w:rsid w:val="00617D51"/>
    <w:rsid w:val="006202CD"/>
    <w:rsid w:val="006254D0"/>
    <w:rsid w:val="00625DB5"/>
    <w:rsid w:val="006277A1"/>
    <w:rsid w:val="0063258F"/>
    <w:rsid w:val="006349CE"/>
    <w:rsid w:val="00634E86"/>
    <w:rsid w:val="00636B0D"/>
    <w:rsid w:val="00640223"/>
    <w:rsid w:val="00652BEC"/>
    <w:rsid w:val="006560ED"/>
    <w:rsid w:val="0065620E"/>
    <w:rsid w:val="00656D6C"/>
    <w:rsid w:val="006579ED"/>
    <w:rsid w:val="00663DC9"/>
    <w:rsid w:val="006640BD"/>
    <w:rsid w:val="0066468C"/>
    <w:rsid w:val="00665272"/>
    <w:rsid w:val="00666397"/>
    <w:rsid w:val="00667E7A"/>
    <w:rsid w:val="00670E00"/>
    <w:rsid w:val="006711E1"/>
    <w:rsid w:val="00671243"/>
    <w:rsid w:val="00673040"/>
    <w:rsid w:val="006762CE"/>
    <w:rsid w:val="0068003F"/>
    <w:rsid w:val="00682BA5"/>
    <w:rsid w:val="0069181D"/>
    <w:rsid w:val="0069425C"/>
    <w:rsid w:val="006944AD"/>
    <w:rsid w:val="006A25C4"/>
    <w:rsid w:val="006B0ED8"/>
    <w:rsid w:val="006B2759"/>
    <w:rsid w:val="006B4C99"/>
    <w:rsid w:val="006B5687"/>
    <w:rsid w:val="006B763E"/>
    <w:rsid w:val="006C0B83"/>
    <w:rsid w:val="006C1849"/>
    <w:rsid w:val="006C218F"/>
    <w:rsid w:val="006C27C9"/>
    <w:rsid w:val="006C454F"/>
    <w:rsid w:val="006C773C"/>
    <w:rsid w:val="006C7EB1"/>
    <w:rsid w:val="006D05C7"/>
    <w:rsid w:val="006D1AF5"/>
    <w:rsid w:val="006E1BAF"/>
    <w:rsid w:val="006E314B"/>
    <w:rsid w:val="006E4C45"/>
    <w:rsid w:val="006E5FF8"/>
    <w:rsid w:val="006E767D"/>
    <w:rsid w:val="006F0700"/>
    <w:rsid w:val="006F1CCB"/>
    <w:rsid w:val="006F3CE4"/>
    <w:rsid w:val="006F4E3E"/>
    <w:rsid w:val="006F76D4"/>
    <w:rsid w:val="007002FE"/>
    <w:rsid w:val="00706CBC"/>
    <w:rsid w:val="00712329"/>
    <w:rsid w:val="007127F0"/>
    <w:rsid w:val="0071691B"/>
    <w:rsid w:val="0071798C"/>
    <w:rsid w:val="007219F9"/>
    <w:rsid w:val="0073013F"/>
    <w:rsid w:val="00731C16"/>
    <w:rsid w:val="00732B42"/>
    <w:rsid w:val="007336CB"/>
    <w:rsid w:val="0073563B"/>
    <w:rsid w:val="00735F09"/>
    <w:rsid w:val="00742792"/>
    <w:rsid w:val="007554B0"/>
    <w:rsid w:val="0075775D"/>
    <w:rsid w:val="00757A32"/>
    <w:rsid w:val="00761997"/>
    <w:rsid w:val="0076311C"/>
    <w:rsid w:val="0077272F"/>
    <w:rsid w:val="007732E6"/>
    <w:rsid w:val="00773744"/>
    <w:rsid w:val="007745AB"/>
    <w:rsid w:val="00776E69"/>
    <w:rsid w:val="00777A0D"/>
    <w:rsid w:val="00780E70"/>
    <w:rsid w:val="0078217D"/>
    <w:rsid w:val="00783B47"/>
    <w:rsid w:val="007850E1"/>
    <w:rsid w:val="00790D07"/>
    <w:rsid w:val="00792CFC"/>
    <w:rsid w:val="007971F4"/>
    <w:rsid w:val="007A380B"/>
    <w:rsid w:val="007A77A5"/>
    <w:rsid w:val="007B1F45"/>
    <w:rsid w:val="007B45B1"/>
    <w:rsid w:val="007B54F0"/>
    <w:rsid w:val="007B649A"/>
    <w:rsid w:val="007B7C4C"/>
    <w:rsid w:val="007C3115"/>
    <w:rsid w:val="007C4087"/>
    <w:rsid w:val="007C4A1E"/>
    <w:rsid w:val="007D05DF"/>
    <w:rsid w:val="007D16D4"/>
    <w:rsid w:val="007D2978"/>
    <w:rsid w:val="007D5D3C"/>
    <w:rsid w:val="007D62A5"/>
    <w:rsid w:val="007E0090"/>
    <w:rsid w:val="007E2B1A"/>
    <w:rsid w:val="007E39E2"/>
    <w:rsid w:val="007E4A4A"/>
    <w:rsid w:val="007E5EC1"/>
    <w:rsid w:val="007F35F5"/>
    <w:rsid w:val="007F49BF"/>
    <w:rsid w:val="007F5121"/>
    <w:rsid w:val="00802387"/>
    <w:rsid w:val="00802F8F"/>
    <w:rsid w:val="0080358F"/>
    <w:rsid w:val="00806F28"/>
    <w:rsid w:val="00807683"/>
    <w:rsid w:val="00807A85"/>
    <w:rsid w:val="00811596"/>
    <w:rsid w:val="00812D25"/>
    <w:rsid w:val="00814727"/>
    <w:rsid w:val="00820F69"/>
    <w:rsid w:val="00821206"/>
    <w:rsid w:val="008216BC"/>
    <w:rsid w:val="00822E1F"/>
    <w:rsid w:val="00823A3E"/>
    <w:rsid w:val="0082516D"/>
    <w:rsid w:val="008270D9"/>
    <w:rsid w:val="008321AF"/>
    <w:rsid w:val="008327C3"/>
    <w:rsid w:val="0083727F"/>
    <w:rsid w:val="00837472"/>
    <w:rsid w:val="008401DE"/>
    <w:rsid w:val="00840CC5"/>
    <w:rsid w:val="00844290"/>
    <w:rsid w:val="0084520F"/>
    <w:rsid w:val="00851398"/>
    <w:rsid w:val="008523B9"/>
    <w:rsid w:val="0085272D"/>
    <w:rsid w:val="0085328C"/>
    <w:rsid w:val="0085469A"/>
    <w:rsid w:val="0085633E"/>
    <w:rsid w:val="008603B0"/>
    <w:rsid w:val="008605BA"/>
    <w:rsid w:val="0086493A"/>
    <w:rsid w:val="00866C7B"/>
    <w:rsid w:val="00871BB8"/>
    <w:rsid w:val="0087319B"/>
    <w:rsid w:val="00873394"/>
    <w:rsid w:val="00877E3F"/>
    <w:rsid w:val="00880B4A"/>
    <w:rsid w:val="00880BE5"/>
    <w:rsid w:val="0088267C"/>
    <w:rsid w:val="00883FFF"/>
    <w:rsid w:val="00886D3A"/>
    <w:rsid w:val="00890EA4"/>
    <w:rsid w:val="0089155E"/>
    <w:rsid w:val="00891F45"/>
    <w:rsid w:val="00892ACB"/>
    <w:rsid w:val="0089318D"/>
    <w:rsid w:val="0089509B"/>
    <w:rsid w:val="00896F8B"/>
    <w:rsid w:val="008B5792"/>
    <w:rsid w:val="008B604A"/>
    <w:rsid w:val="008C1FCC"/>
    <w:rsid w:val="008C433D"/>
    <w:rsid w:val="008C66A7"/>
    <w:rsid w:val="008C6AED"/>
    <w:rsid w:val="008C6F54"/>
    <w:rsid w:val="008D176C"/>
    <w:rsid w:val="008D55CD"/>
    <w:rsid w:val="008E0A39"/>
    <w:rsid w:val="008E144D"/>
    <w:rsid w:val="008E6598"/>
    <w:rsid w:val="008F4226"/>
    <w:rsid w:val="008F4B77"/>
    <w:rsid w:val="008F5EFD"/>
    <w:rsid w:val="008F776C"/>
    <w:rsid w:val="00900491"/>
    <w:rsid w:val="009014E9"/>
    <w:rsid w:val="00904CCC"/>
    <w:rsid w:val="00907617"/>
    <w:rsid w:val="009106D1"/>
    <w:rsid w:val="00910FF0"/>
    <w:rsid w:val="00911418"/>
    <w:rsid w:val="00914597"/>
    <w:rsid w:val="0091550A"/>
    <w:rsid w:val="00915BB5"/>
    <w:rsid w:val="009203B0"/>
    <w:rsid w:val="0092222E"/>
    <w:rsid w:val="0093362A"/>
    <w:rsid w:val="009414EA"/>
    <w:rsid w:val="00941ABB"/>
    <w:rsid w:val="00942AAB"/>
    <w:rsid w:val="009446CD"/>
    <w:rsid w:val="00946FD7"/>
    <w:rsid w:val="00947C7D"/>
    <w:rsid w:val="00953E17"/>
    <w:rsid w:val="009552DF"/>
    <w:rsid w:val="00955E8C"/>
    <w:rsid w:val="00963A54"/>
    <w:rsid w:val="00967A7F"/>
    <w:rsid w:val="00970EE1"/>
    <w:rsid w:val="0097640D"/>
    <w:rsid w:val="0097741F"/>
    <w:rsid w:val="00983590"/>
    <w:rsid w:val="00985BF5"/>
    <w:rsid w:val="00985C7B"/>
    <w:rsid w:val="009866B4"/>
    <w:rsid w:val="00986700"/>
    <w:rsid w:val="00992E5A"/>
    <w:rsid w:val="009945BB"/>
    <w:rsid w:val="00995482"/>
    <w:rsid w:val="009956AF"/>
    <w:rsid w:val="009966CD"/>
    <w:rsid w:val="009A0043"/>
    <w:rsid w:val="009A2143"/>
    <w:rsid w:val="009A34DC"/>
    <w:rsid w:val="009B0B76"/>
    <w:rsid w:val="009B1189"/>
    <w:rsid w:val="009B79C1"/>
    <w:rsid w:val="009C0483"/>
    <w:rsid w:val="009C1532"/>
    <w:rsid w:val="009C2276"/>
    <w:rsid w:val="009C7083"/>
    <w:rsid w:val="009D0B86"/>
    <w:rsid w:val="009D1783"/>
    <w:rsid w:val="009D1CE2"/>
    <w:rsid w:val="009D3C47"/>
    <w:rsid w:val="009D4CBA"/>
    <w:rsid w:val="009D68E3"/>
    <w:rsid w:val="009E07F6"/>
    <w:rsid w:val="009E595E"/>
    <w:rsid w:val="009E60CD"/>
    <w:rsid w:val="009F0638"/>
    <w:rsid w:val="009F26C1"/>
    <w:rsid w:val="009F2C15"/>
    <w:rsid w:val="009F504E"/>
    <w:rsid w:val="00A00FE3"/>
    <w:rsid w:val="00A0221D"/>
    <w:rsid w:val="00A07100"/>
    <w:rsid w:val="00A1012B"/>
    <w:rsid w:val="00A115AE"/>
    <w:rsid w:val="00A13DA9"/>
    <w:rsid w:val="00A17464"/>
    <w:rsid w:val="00A26B88"/>
    <w:rsid w:val="00A33915"/>
    <w:rsid w:val="00A33C5C"/>
    <w:rsid w:val="00A369F9"/>
    <w:rsid w:val="00A417C8"/>
    <w:rsid w:val="00A41CD4"/>
    <w:rsid w:val="00A432DE"/>
    <w:rsid w:val="00A47346"/>
    <w:rsid w:val="00A47C5D"/>
    <w:rsid w:val="00A508B3"/>
    <w:rsid w:val="00A50C39"/>
    <w:rsid w:val="00A51A76"/>
    <w:rsid w:val="00A61B3F"/>
    <w:rsid w:val="00A632D6"/>
    <w:rsid w:val="00A63C74"/>
    <w:rsid w:val="00A70604"/>
    <w:rsid w:val="00A706E3"/>
    <w:rsid w:val="00A71B36"/>
    <w:rsid w:val="00A72E75"/>
    <w:rsid w:val="00A73754"/>
    <w:rsid w:val="00A75509"/>
    <w:rsid w:val="00A82C94"/>
    <w:rsid w:val="00A83239"/>
    <w:rsid w:val="00A83E45"/>
    <w:rsid w:val="00A922B1"/>
    <w:rsid w:val="00A96457"/>
    <w:rsid w:val="00A96DDF"/>
    <w:rsid w:val="00AA0670"/>
    <w:rsid w:val="00AA2C87"/>
    <w:rsid w:val="00AA4A3D"/>
    <w:rsid w:val="00AA7C74"/>
    <w:rsid w:val="00AB1BE3"/>
    <w:rsid w:val="00AB305C"/>
    <w:rsid w:val="00AB4F49"/>
    <w:rsid w:val="00AC07A8"/>
    <w:rsid w:val="00AC1FE4"/>
    <w:rsid w:val="00AC3D79"/>
    <w:rsid w:val="00AC7579"/>
    <w:rsid w:val="00AC7B85"/>
    <w:rsid w:val="00AD2CCF"/>
    <w:rsid w:val="00AD52C2"/>
    <w:rsid w:val="00AE3D26"/>
    <w:rsid w:val="00AE49A7"/>
    <w:rsid w:val="00AF5406"/>
    <w:rsid w:val="00AF64F4"/>
    <w:rsid w:val="00AF7044"/>
    <w:rsid w:val="00B02060"/>
    <w:rsid w:val="00B03C7A"/>
    <w:rsid w:val="00B056F7"/>
    <w:rsid w:val="00B06206"/>
    <w:rsid w:val="00B11A42"/>
    <w:rsid w:val="00B12628"/>
    <w:rsid w:val="00B133A5"/>
    <w:rsid w:val="00B15565"/>
    <w:rsid w:val="00B15AF6"/>
    <w:rsid w:val="00B26E0F"/>
    <w:rsid w:val="00B306AA"/>
    <w:rsid w:val="00B31681"/>
    <w:rsid w:val="00B40886"/>
    <w:rsid w:val="00B41BCF"/>
    <w:rsid w:val="00B427B3"/>
    <w:rsid w:val="00B45D5B"/>
    <w:rsid w:val="00B50D0F"/>
    <w:rsid w:val="00B561BD"/>
    <w:rsid w:val="00B5640B"/>
    <w:rsid w:val="00B619A2"/>
    <w:rsid w:val="00B61FFE"/>
    <w:rsid w:val="00B620B1"/>
    <w:rsid w:val="00B6596A"/>
    <w:rsid w:val="00B66F9A"/>
    <w:rsid w:val="00B718A6"/>
    <w:rsid w:val="00B720E1"/>
    <w:rsid w:val="00B734B6"/>
    <w:rsid w:val="00B75714"/>
    <w:rsid w:val="00B81B92"/>
    <w:rsid w:val="00B834E2"/>
    <w:rsid w:val="00B84A29"/>
    <w:rsid w:val="00B84CA8"/>
    <w:rsid w:val="00B956C9"/>
    <w:rsid w:val="00B95807"/>
    <w:rsid w:val="00BA0EF0"/>
    <w:rsid w:val="00BA16F7"/>
    <w:rsid w:val="00BA21EE"/>
    <w:rsid w:val="00BA66B6"/>
    <w:rsid w:val="00BB3131"/>
    <w:rsid w:val="00BB3764"/>
    <w:rsid w:val="00BB3FED"/>
    <w:rsid w:val="00BB5F5A"/>
    <w:rsid w:val="00BC0673"/>
    <w:rsid w:val="00BC403F"/>
    <w:rsid w:val="00BD324A"/>
    <w:rsid w:val="00BE2FBF"/>
    <w:rsid w:val="00BE58FF"/>
    <w:rsid w:val="00BF043A"/>
    <w:rsid w:val="00BF2DFC"/>
    <w:rsid w:val="00BF2E37"/>
    <w:rsid w:val="00BF57C7"/>
    <w:rsid w:val="00BF5A7A"/>
    <w:rsid w:val="00C0004C"/>
    <w:rsid w:val="00C0092A"/>
    <w:rsid w:val="00C055C4"/>
    <w:rsid w:val="00C067B5"/>
    <w:rsid w:val="00C069F0"/>
    <w:rsid w:val="00C12A68"/>
    <w:rsid w:val="00C13B42"/>
    <w:rsid w:val="00C13FEC"/>
    <w:rsid w:val="00C14201"/>
    <w:rsid w:val="00C14FB2"/>
    <w:rsid w:val="00C15690"/>
    <w:rsid w:val="00C20583"/>
    <w:rsid w:val="00C20678"/>
    <w:rsid w:val="00C23BC9"/>
    <w:rsid w:val="00C311F4"/>
    <w:rsid w:val="00C33FD8"/>
    <w:rsid w:val="00C34FB7"/>
    <w:rsid w:val="00C4471F"/>
    <w:rsid w:val="00C45186"/>
    <w:rsid w:val="00C456CC"/>
    <w:rsid w:val="00C47111"/>
    <w:rsid w:val="00C521F9"/>
    <w:rsid w:val="00C61D1F"/>
    <w:rsid w:val="00C620C0"/>
    <w:rsid w:val="00C62F74"/>
    <w:rsid w:val="00C64865"/>
    <w:rsid w:val="00C67A0B"/>
    <w:rsid w:val="00C74A1C"/>
    <w:rsid w:val="00C80632"/>
    <w:rsid w:val="00C8072B"/>
    <w:rsid w:val="00C81371"/>
    <w:rsid w:val="00C85A6D"/>
    <w:rsid w:val="00C87047"/>
    <w:rsid w:val="00C91E46"/>
    <w:rsid w:val="00C91F33"/>
    <w:rsid w:val="00C9227A"/>
    <w:rsid w:val="00C92C37"/>
    <w:rsid w:val="00C92E8A"/>
    <w:rsid w:val="00CA3EBC"/>
    <w:rsid w:val="00CA43E4"/>
    <w:rsid w:val="00CA4F76"/>
    <w:rsid w:val="00CA5082"/>
    <w:rsid w:val="00CA6872"/>
    <w:rsid w:val="00CA77A6"/>
    <w:rsid w:val="00CB14F4"/>
    <w:rsid w:val="00CB1D44"/>
    <w:rsid w:val="00CC0D62"/>
    <w:rsid w:val="00CC11D5"/>
    <w:rsid w:val="00CC172B"/>
    <w:rsid w:val="00CC5AF1"/>
    <w:rsid w:val="00CC6AB7"/>
    <w:rsid w:val="00CC6C76"/>
    <w:rsid w:val="00CC6E01"/>
    <w:rsid w:val="00CD0E3A"/>
    <w:rsid w:val="00CD128D"/>
    <w:rsid w:val="00CD33B5"/>
    <w:rsid w:val="00CD4F63"/>
    <w:rsid w:val="00CD51EB"/>
    <w:rsid w:val="00CD585E"/>
    <w:rsid w:val="00CD740E"/>
    <w:rsid w:val="00CE237D"/>
    <w:rsid w:val="00CE304D"/>
    <w:rsid w:val="00CE3A30"/>
    <w:rsid w:val="00CE4DAE"/>
    <w:rsid w:val="00CF0AE7"/>
    <w:rsid w:val="00CF1078"/>
    <w:rsid w:val="00D031FA"/>
    <w:rsid w:val="00D04BAF"/>
    <w:rsid w:val="00D0512F"/>
    <w:rsid w:val="00D12778"/>
    <w:rsid w:val="00D12887"/>
    <w:rsid w:val="00D16A4C"/>
    <w:rsid w:val="00D17D4F"/>
    <w:rsid w:val="00D20A49"/>
    <w:rsid w:val="00D2350B"/>
    <w:rsid w:val="00D24B67"/>
    <w:rsid w:val="00D308F5"/>
    <w:rsid w:val="00D36584"/>
    <w:rsid w:val="00D36B69"/>
    <w:rsid w:val="00D40AA2"/>
    <w:rsid w:val="00D41547"/>
    <w:rsid w:val="00D45548"/>
    <w:rsid w:val="00D47721"/>
    <w:rsid w:val="00D504DF"/>
    <w:rsid w:val="00D517C3"/>
    <w:rsid w:val="00D52490"/>
    <w:rsid w:val="00D534D8"/>
    <w:rsid w:val="00D5378B"/>
    <w:rsid w:val="00D54573"/>
    <w:rsid w:val="00D561CA"/>
    <w:rsid w:val="00D66372"/>
    <w:rsid w:val="00D67631"/>
    <w:rsid w:val="00D70278"/>
    <w:rsid w:val="00D70554"/>
    <w:rsid w:val="00D729B6"/>
    <w:rsid w:val="00D73D2E"/>
    <w:rsid w:val="00D74293"/>
    <w:rsid w:val="00D74996"/>
    <w:rsid w:val="00D75734"/>
    <w:rsid w:val="00D75958"/>
    <w:rsid w:val="00D80493"/>
    <w:rsid w:val="00D808AC"/>
    <w:rsid w:val="00D82C35"/>
    <w:rsid w:val="00D84F85"/>
    <w:rsid w:val="00D936E1"/>
    <w:rsid w:val="00D93F01"/>
    <w:rsid w:val="00D941DF"/>
    <w:rsid w:val="00DA170D"/>
    <w:rsid w:val="00DA4B57"/>
    <w:rsid w:val="00DA4D81"/>
    <w:rsid w:val="00DB4B45"/>
    <w:rsid w:val="00DB51C5"/>
    <w:rsid w:val="00DB7CC7"/>
    <w:rsid w:val="00DC256D"/>
    <w:rsid w:val="00DC43E6"/>
    <w:rsid w:val="00DC4FE5"/>
    <w:rsid w:val="00DC5A90"/>
    <w:rsid w:val="00DE5E25"/>
    <w:rsid w:val="00DE5E97"/>
    <w:rsid w:val="00DE7CFE"/>
    <w:rsid w:val="00DE7E5D"/>
    <w:rsid w:val="00DF0875"/>
    <w:rsid w:val="00DF40DD"/>
    <w:rsid w:val="00DF6E45"/>
    <w:rsid w:val="00E0156A"/>
    <w:rsid w:val="00E03C8F"/>
    <w:rsid w:val="00E04BF8"/>
    <w:rsid w:val="00E06CFE"/>
    <w:rsid w:val="00E15A9C"/>
    <w:rsid w:val="00E1640A"/>
    <w:rsid w:val="00E244E4"/>
    <w:rsid w:val="00E2509F"/>
    <w:rsid w:val="00E31250"/>
    <w:rsid w:val="00E349F9"/>
    <w:rsid w:val="00E37116"/>
    <w:rsid w:val="00E37FF7"/>
    <w:rsid w:val="00E4042A"/>
    <w:rsid w:val="00E42239"/>
    <w:rsid w:val="00E43545"/>
    <w:rsid w:val="00E44343"/>
    <w:rsid w:val="00E458AD"/>
    <w:rsid w:val="00E46029"/>
    <w:rsid w:val="00E47CB3"/>
    <w:rsid w:val="00E50276"/>
    <w:rsid w:val="00E50E20"/>
    <w:rsid w:val="00E5406E"/>
    <w:rsid w:val="00E54477"/>
    <w:rsid w:val="00E54F46"/>
    <w:rsid w:val="00E57A69"/>
    <w:rsid w:val="00E6043F"/>
    <w:rsid w:val="00E62686"/>
    <w:rsid w:val="00E65103"/>
    <w:rsid w:val="00E67835"/>
    <w:rsid w:val="00E70A83"/>
    <w:rsid w:val="00E71CB9"/>
    <w:rsid w:val="00E72428"/>
    <w:rsid w:val="00E85CA2"/>
    <w:rsid w:val="00E86ED8"/>
    <w:rsid w:val="00E921D5"/>
    <w:rsid w:val="00E92B9C"/>
    <w:rsid w:val="00E9345D"/>
    <w:rsid w:val="00E944E8"/>
    <w:rsid w:val="00E94B45"/>
    <w:rsid w:val="00E96997"/>
    <w:rsid w:val="00EA1160"/>
    <w:rsid w:val="00EA1D9D"/>
    <w:rsid w:val="00EA61EE"/>
    <w:rsid w:val="00EB1AE5"/>
    <w:rsid w:val="00EB3E3D"/>
    <w:rsid w:val="00EB54F3"/>
    <w:rsid w:val="00EC68E2"/>
    <w:rsid w:val="00EC6B3B"/>
    <w:rsid w:val="00EC75E8"/>
    <w:rsid w:val="00ED1A8B"/>
    <w:rsid w:val="00ED44A3"/>
    <w:rsid w:val="00ED6A06"/>
    <w:rsid w:val="00EE31C5"/>
    <w:rsid w:val="00EE3510"/>
    <w:rsid w:val="00EE502B"/>
    <w:rsid w:val="00EE6E00"/>
    <w:rsid w:val="00EE6FEA"/>
    <w:rsid w:val="00EF022A"/>
    <w:rsid w:val="00EF30A0"/>
    <w:rsid w:val="00EF40EE"/>
    <w:rsid w:val="00EF6DA3"/>
    <w:rsid w:val="00F03D95"/>
    <w:rsid w:val="00F114EF"/>
    <w:rsid w:val="00F12170"/>
    <w:rsid w:val="00F154AD"/>
    <w:rsid w:val="00F15C22"/>
    <w:rsid w:val="00F20C31"/>
    <w:rsid w:val="00F22D18"/>
    <w:rsid w:val="00F26959"/>
    <w:rsid w:val="00F40FE3"/>
    <w:rsid w:val="00F412DD"/>
    <w:rsid w:val="00F44744"/>
    <w:rsid w:val="00F47D85"/>
    <w:rsid w:val="00F47F00"/>
    <w:rsid w:val="00F550C9"/>
    <w:rsid w:val="00F55EE8"/>
    <w:rsid w:val="00F565FE"/>
    <w:rsid w:val="00F57D9D"/>
    <w:rsid w:val="00F60617"/>
    <w:rsid w:val="00F63A3C"/>
    <w:rsid w:val="00F70FEA"/>
    <w:rsid w:val="00F71E35"/>
    <w:rsid w:val="00F73F1F"/>
    <w:rsid w:val="00F763F8"/>
    <w:rsid w:val="00F76C8B"/>
    <w:rsid w:val="00F77A69"/>
    <w:rsid w:val="00F8510E"/>
    <w:rsid w:val="00F92E3A"/>
    <w:rsid w:val="00F970C4"/>
    <w:rsid w:val="00F975E8"/>
    <w:rsid w:val="00F97CED"/>
    <w:rsid w:val="00FA0A4A"/>
    <w:rsid w:val="00FA105A"/>
    <w:rsid w:val="00FB0DCA"/>
    <w:rsid w:val="00FB1F53"/>
    <w:rsid w:val="00FB2D3F"/>
    <w:rsid w:val="00FB61F3"/>
    <w:rsid w:val="00FC41F3"/>
    <w:rsid w:val="00FD49F7"/>
    <w:rsid w:val="00FD6190"/>
    <w:rsid w:val="00FD687F"/>
    <w:rsid w:val="00FE4200"/>
    <w:rsid w:val="00FF2870"/>
    <w:rsid w:val="00FF4630"/>
    <w:rsid w:val="00FF74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CA281"/>
  <w15:docId w15:val="{4548320B-8878-435E-95C7-9BE48DAC3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Schoolbook" w:eastAsiaTheme="minorHAnsi" w:hAnsi="Century Schoolbook"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E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022A"/>
    <w:pPr>
      <w:ind w:left="720"/>
      <w:contextualSpacing/>
    </w:pPr>
  </w:style>
  <w:style w:type="character" w:styleId="CommentReference">
    <w:name w:val="annotation reference"/>
    <w:basedOn w:val="DefaultParagraphFont"/>
    <w:uiPriority w:val="99"/>
    <w:semiHidden/>
    <w:unhideWhenUsed/>
    <w:rsid w:val="00742792"/>
    <w:rPr>
      <w:sz w:val="16"/>
      <w:szCs w:val="16"/>
    </w:rPr>
  </w:style>
  <w:style w:type="paragraph" w:styleId="CommentText">
    <w:name w:val="annotation text"/>
    <w:basedOn w:val="Normal"/>
    <w:link w:val="CommentTextChar"/>
    <w:uiPriority w:val="99"/>
    <w:unhideWhenUsed/>
    <w:rsid w:val="00742792"/>
    <w:rPr>
      <w:sz w:val="20"/>
      <w:szCs w:val="20"/>
    </w:rPr>
  </w:style>
  <w:style w:type="character" w:customStyle="1" w:styleId="CommentTextChar">
    <w:name w:val="Comment Text Char"/>
    <w:basedOn w:val="DefaultParagraphFont"/>
    <w:link w:val="CommentText"/>
    <w:uiPriority w:val="99"/>
    <w:rsid w:val="00742792"/>
    <w:rPr>
      <w:sz w:val="20"/>
      <w:szCs w:val="20"/>
    </w:rPr>
  </w:style>
  <w:style w:type="paragraph" w:styleId="CommentSubject">
    <w:name w:val="annotation subject"/>
    <w:basedOn w:val="CommentText"/>
    <w:next w:val="CommentText"/>
    <w:link w:val="CommentSubjectChar"/>
    <w:uiPriority w:val="99"/>
    <w:semiHidden/>
    <w:unhideWhenUsed/>
    <w:rsid w:val="00742792"/>
    <w:rPr>
      <w:b/>
      <w:bCs/>
    </w:rPr>
  </w:style>
  <w:style w:type="character" w:customStyle="1" w:styleId="CommentSubjectChar">
    <w:name w:val="Comment Subject Char"/>
    <w:basedOn w:val="CommentTextChar"/>
    <w:link w:val="CommentSubject"/>
    <w:uiPriority w:val="99"/>
    <w:semiHidden/>
    <w:rsid w:val="00742792"/>
    <w:rPr>
      <w:b/>
      <w:bCs/>
      <w:sz w:val="20"/>
      <w:szCs w:val="20"/>
    </w:rPr>
  </w:style>
  <w:style w:type="paragraph" w:styleId="BalloonText">
    <w:name w:val="Balloon Text"/>
    <w:basedOn w:val="Normal"/>
    <w:link w:val="BalloonTextChar"/>
    <w:uiPriority w:val="99"/>
    <w:semiHidden/>
    <w:unhideWhenUsed/>
    <w:rsid w:val="00742792"/>
    <w:rPr>
      <w:rFonts w:ascii="Tahoma" w:hAnsi="Tahoma" w:cs="Tahoma"/>
      <w:sz w:val="16"/>
      <w:szCs w:val="16"/>
    </w:rPr>
  </w:style>
  <w:style w:type="character" w:customStyle="1" w:styleId="BalloonTextChar">
    <w:name w:val="Balloon Text Char"/>
    <w:basedOn w:val="DefaultParagraphFont"/>
    <w:link w:val="BalloonText"/>
    <w:uiPriority w:val="99"/>
    <w:semiHidden/>
    <w:rsid w:val="00742792"/>
    <w:rPr>
      <w:rFonts w:ascii="Tahoma" w:hAnsi="Tahoma" w:cs="Tahoma"/>
      <w:sz w:val="16"/>
      <w:szCs w:val="16"/>
    </w:rPr>
  </w:style>
  <w:style w:type="paragraph" w:styleId="Header">
    <w:name w:val="header"/>
    <w:basedOn w:val="Normal"/>
    <w:link w:val="HeaderChar"/>
    <w:uiPriority w:val="99"/>
    <w:unhideWhenUsed/>
    <w:rsid w:val="001517AE"/>
    <w:pPr>
      <w:tabs>
        <w:tab w:val="center" w:pos="4680"/>
        <w:tab w:val="right" w:pos="9360"/>
      </w:tabs>
    </w:pPr>
  </w:style>
  <w:style w:type="character" w:customStyle="1" w:styleId="HeaderChar">
    <w:name w:val="Header Char"/>
    <w:basedOn w:val="DefaultParagraphFont"/>
    <w:link w:val="Header"/>
    <w:uiPriority w:val="99"/>
    <w:rsid w:val="001517AE"/>
  </w:style>
  <w:style w:type="paragraph" w:styleId="Footer">
    <w:name w:val="footer"/>
    <w:basedOn w:val="Normal"/>
    <w:link w:val="FooterChar"/>
    <w:uiPriority w:val="99"/>
    <w:unhideWhenUsed/>
    <w:rsid w:val="001517AE"/>
    <w:pPr>
      <w:tabs>
        <w:tab w:val="center" w:pos="4680"/>
        <w:tab w:val="right" w:pos="9360"/>
      </w:tabs>
    </w:pPr>
  </w:style>
  <w:style w:type="character" w:customStyle="1" w:styleId="FooterChar">
    <w:name w:val="Footer Char"/>
    <w:basedOn w:val="DefaultParagraphFont"/>
    <w:link w:val="Footer"/>
    <w:uiPriority w:val="99"/>
    <w:rsid w:val="001517AE"/>
  </w:style>
  <w:style w:type="character" w:styleId="PlaceholderText">
    <w:name w:val="Placeholder Text"/>
    <w:basedOn w:val="DefaultParagraphFont"/>
    <w:uiPriority w:val="99"/>
    <w:semiHidden/>
    <w:rsid w:val="008E144D"/>
    <w:rPr>
      <w:color w:val="808080"/>
    </w:rPr>
  </w:style>
  <w:style w:type="paragraph" w:styleId="FootnoteText">
    <w:name w:val="footnote text"/>
    <w:basedOn w:val="Normal"/>
    <w:link w:val="FootnoteTextChar"/>
    <w:uiPriority w:val="99"/>
    <w:semiHidden/>
    <w:unhideWhenUsed/>
    <w:rsid w:val="00E47CB3"/>
    <w:rPr>
      <w:sz w:val="20"/>
      <w:szCs w:val="20"/>
    </w:rPr>
  </w:style>
  <w:style w:type="character" w:customStyle="1" w:styleId="FootnoteTextChar">
    <w:name w:val="Footnote Text Char"/>
    <w:basedOn w:val="DefaultParagraphFont"/>
    <w:link w:val="FootnoteText"/>
    <w:uiPriority w:val="99"/>
    <w:semiHidden/>
    <w:rsid w:val="00E47CB3"/>
    <w:rPr>
      <w:sz w:val="20"/>
      <w:szCs w:val="20"/>
    </w:rPr>
  </w:style>
  <w:style w:type="character" w:styleId="FootnoteReference">
    <w:name w:val="footnote reference"/>
    <w:basedOn w:val="DefaultParagraphFont"/>
    <w:uiPriority w:val="99"/>
    <w:semiHidden/>
    <w:unhideWhenUsed/>
    <w:rsid w:val="00E47CB3"/>
    <w:rPr>
      <w:vertAlign w:val="superscript"/>
    </w:rPr>
  </w:style>
  <w:style w:type="table" w:styleId="TableGrid">
    <w:name w:val="Table Grid"/>
    <w:basedOn w:val="TableNormal"/>
    <w:uiPriority w:val="59"/>
    <w:rsid w:val="00671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81B92"/>
    <w:rPr>
      <w:b/>
      <w:bCs/>
    </w:rPr>
  </w:style>
  <w:style w:type="paragraph" w:styleId="NormalWeb">
    <w:name w:val="Normal (Web)"/>
    <w:basedOn w:val="Normal"/>
    <w:uiPriority w:val="99"/>
    <w:unhideWhenUsed/>
    <w:rsid w:val="00537A20"/>
    <w:pPr>
      <w:spacing w:before="100" w:beforeAutospacing="1" w:after="100" w:afterAutospacing="1"/>
    </w:pPr>
    <w:rPr>
      <w:rFonts w:ascii="Times New Roman" w:eastAsia="Times New Roman" w:hAnsi="Times New Roman" w:cs="Times New Roman"/>
      <w:sz w:val="24"/>
      <w:szCs w:val="24"/>
    </w:rPr>
  </w:style>
  <w:style w:type="character" w:customStyle="1" w:styleId="st">
    <w:name w:val="st"/>
    <w:basedOn w:val="DefaultParagraphFont"/>
    <w:rsid w:val="00963A54"/>
  </w:style>
  <w:style w:type="character" w:styleId="Hyperlink">
    <w:name w:val="Hyperlink"/>
    <w:basedOn w:val="DefaultParagraphFont"/>
    <w:uiPriority w:val="99"/>
    <w:unhideWhenUsed/>
    <w:rsid w:val="00F22D18"/>
    <w:rPr>
      <w:color w:val="0000FF" w:themeColor="hyperlink"/>
      <w:u w:val="single"/>
    </w:rPr>
  </w:style>
  <w:style w:type="character" w:customStyle="1" w:styleId="CommentTextChar1">
    <w:name w:val="Comment Text Char1"/>
    <w:basedOn w:val="DefaultParagraphFont"/>
    <w:uiPriority w:val="99"/>
    <w:semiHidden/>
    <w:rsid w:val="002A028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566231">
      <w:bodyDiv w:val="1"/>
      <w:marLeft w:val="0"/>
      <w:marRight w:val="0"/>
      <w:marTop w:val="0"/>
      <w:marBottom w:val="0"/>
      <w:divBdr>
        <w:top w:val="none" w:sz="0" w:space="0" w:color="auto"/>
        <w:left w:val="none" w:sz="0" w:space="0" w:color="auto"/>
        <w:bottom w:val="none" w:sz="0" w:space="0" w:color="auto"/>
        <w:right w:val="none" w:sz="0" w:space="0" w:color="auto"/>
      </w:divBdr>
    </w:div>
    <w:div w:id="632713492">
      <w:bodyDiv w:val="1"/>
      <w:marLeft w:val="0"/>
      <w:marRight w:val="0"/>
      <w:marTop w:val="0"/>
      <w:marBottom w:val="0"/>
      <w:divBdr>
        <w:top w:val="none" w:sz="0" w:space="0" w:color="auto"/>
        <w:left w:val="none" w:sz="0" w:space="0" w:color="auto"/>
        <w:bottom w:val="none" w:sz="0" w:space="0" w:color="auto"/>
        <w:right w:val="none" w:sz="0" w:space="0" w:color="auto"/>
      </w:divBdr>
      <w:divsChild>
        <w:div w:id="768045984">
          <w:marLeft w:val="0"/>
          <w:marRight w:val="0"/>
          <w:marTop w:val="0"/>
          <w:marBottom w:val="0"/>
          <w:divBdr>
            <w:top w:val="none" w:sz="0" w:space="0" w:color="auto"/>
            <w:left w:val="none" w:sz="0" w:space="0" w:color="auto"/>
            <w:bottom w:val="none" w:sz="0" w:space="0" w:color="auto"/>
            <w:right w:val="none" w:sz="0" w:space="0" w:color="auto"/>
          </w:divBdr>
        </w:div>
        <w:div w:id="2025588384">
          <w:marLeft w:val="0"/>
          <w:marRight w:val="0"/>
          <w:marTop w:val="0"/>
          <w:marBottom w:val="0"/>
          <w:divBdr>
            <w:top w:val="none" w:sz="0" w:space="0" w:color="auto"/>
            <w:left w:val="none" w:sz="0" w:space="0" w:color="auto"/>
            <w:bottom w:val="none" w:sz="0" w:space="0" w:color="auto"/>
            <w:right w:val="none" w:sz="0" w:space="0" w:color="auto"/>
          </w:divBdr>
          <w:divsChild>
            <w:div w:id="1535314720">
              <w:marLeft w:val="0"/>
              <w:marRight w:val="0"/>
              <w:marTop w:val="0"/>
              <w:marBottom w:val="0"/>
              <w:divBdr>
                <w:top w:val="none" w:sz="0" w:space="0" w:color="auto"/>
                <w:left w:val="none" w:sz="0" w:space="0" w:color="auto"/>
                <w:bottom w:val="none" w:sz="0" w:space="0" w:color="auto"/>
                <w:right w:val="none" w:sz="0" w:space="0" w:color="auto"/>
              </w:divBdr>
            </w:div>
            <w:div w:id="1416780618">
              <w:marLeft w:val="0"/>
              <w:marRight w:val="0"/>
              <w:marTop w:val="0"/>
              <w:marBottom w:val="0"/>
              <w:divBdr>
                <w:top w:val="none" w:sz="0" w:space="0" w:color="auto"/>
                <w:left w:val="none" w:sz="0" w:space="0" w:color="auto"/>
                <w:bottom w:val="none" w:sz="0" w:space="0" w:color="auto"/>
                <w:right w:val="none" w:sz="0" w:space="0" w:color="auto"/>
              </w:divBdr>
            </w:div>
            <w:div w:id="131873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016">
      <w:bodyDiv w:val="1"/>
      <w:marLeft w:val="0"/>
      <w:marRight w:val="0"/>
      <w:marTop w:val="0"/>
      <w:marBottom w:val="0"/>
      <w:divBdr>
        <w:top w:val="none" w:sz="0" w:space="0" w:color="auto"/>
        <w:left w:val="none" w:sz="0" w:space="0" w:color="auto"/>
        <w:bottom w:val="none" w:sz="0" w:space="0" w:color="auto"/>
        <w:right w:val="none" w:sz="0" w:space="0" w:color="auto"/>
      </w:divBdr>
      <w:divsChild>
        <w:div w:id="1783644980">
          <w:marLeft w:val="0"/>
          <w:marRight w:val="0"/>
          <w:marTop w:val="0"/>
          <w:marBottom w:val="0"/>
          <w:divBdr>
            <w:top w:val="none" w:sz="0" w:space="0" w:color="auto"/>
            <w:left w:val="none" w:sz="0" w:space="0" w:color="auto"/>
            <w:bottom w:val="none" w:sz="0" w:space="0" w:color="auto"/>
            <w:right w:val="none" w:sz="0" w:space="0" w:color="auto"/>
          </w:divBdr>
        </w:div>
        <w:div w:id="1242907975">
          <w:marLeft w:val="0"/>
          <w:marRight w:val="0"/>
          <w:marTop w:val="0"/>
          <w:marBottom w:val="0"/>
          <w:divBdr>
            <w:top w:val="none" w:sz="0" w:space="0" w:color="auto"/>
            <w:left w:val="none" w:sz="0" w:space="0" w:color="auto"/>
            <w:bottom w:val="none" w:sz="0" w:space="0" w:color="auto"/>
            <w:right w:val="none" w:sz="0" w:space="0" w:color="auto"/>
          </w:divBdr>
        </w:div>
      </w:divsChild>
    </w:div>
    <w:div w:id="1067529138">
      <w:bodyDiv w:val="1"/>
      <w:marLeft w:val="0"/>
      <w:marRight w:val="0"/>
      <w:marTop w:val="0"/>
      <w:marBottom w:val="0"/>
      <w:divBdr>
        <w:top w:val="none" w:sz="0" w:space="0" w:color="auto"/>
        <w:left w:val="none" w:sz="0" w:space="0" w:color="auto"/>
        <w:bottom w:val="none" w:sz="0" w:space="0" w:color="auto"/>
        <w:right w:val="none" w:sz="0" w:space="0" w:color="auto"/>
      </w:divBdr>
    </w:div>
    <w:div w:id="162145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lso.brunetti@frb.gov" TargetMode="External"/><Relationship Id="rId13" Type="http://schemas.openxmlformats.org/officeDocument/2006/relationships/hyperlink" Target="http://ssrn.com/abstract=2425558" TargetMode="External"/><Relationship Id="rId18" Type="http://schemas.openxmlformats.org/officeDocument/2006/relationships/footer" Target="footer2.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dx.doi.org/10.2139/ssrn.2249909"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michail@umich.edu" TargetMode="External"/><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yperlink" Target="mailto:smankad@rhsmith.umd.edu" TargetMode="External"/><Relationship Id="rId19" Type="http://schemas.openxmlformats.org/officeDocument/2006/relationships/image" Target="media/image3.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jharris@american.edu" TargetMode="External"/><Relationship Id="rId14" Type="http://schemas.openxmlformats.org/officeDocument/2006/relationships/hyperlink" Target="http://ssrn.com/abstract=2051013"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68BE0-8087-4AB4-850D-9ACAB3BC0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1536</TotalTime>
  <Pages>1</Pages>
  <Words>8694</Words>
  <Characters>49561</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Syracuse University</Company>
  <LinksUpToDate>false</LinksUpToDate>
  <CharactersWithSpaces>58139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Celso Brunetti</dc:creator>
  <cp:lastModifiedBy>Jeff Harris</cp:lastModifiedBy>
  <cp:revision>20</cp:revision>
  <cp:lastPrinted>2015-01-09T20:44:00Z</cp:lastPrinted>
  <dcterms:created xsi:type="dcterms:W3CDTF">2015-02-25T15:19:00Z</dcterms:created>
  <dcterms:modified xsi:type="dcterms:W3CDTF">2015-02-26T16:56:00Z</dcterms:modified>
</cp:coreProperties>
</file>